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HAKAN ŞENTÜRK</w:t>
      </w:r>
    </w:p>
    <w:p w:rsidR="00000000" w:rsidDel="00000000" w:rsidP="00000000" w:rsidRDefault="00000000" w:rsidRPr="00000000" w14:paraId="00000002">
      <w:pPr>
        <w:pStyle w:val="Title"/>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ÖZGEÇMİŞ VE ESERLER LİSTESİ</w:t>
      </w:r>
    </w:p>
    <w:p w:rsidR="00000000" w:rsidDel="00000000" w:rsidP="00000000" w:rsidRDefault="00000000" w:rsidRPr="00000000" w14:paraId="00000003">
      <w:pPr>
        <w:pStyle w:val="Title"/>
        <w:jc w:val="left"/>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ÖZGEÇMİŞ</w:t>
      </w:r>
    </w:p>
    <w:p w:rsidR="00000000" w:rsidDel="00000000" w:rsidP="00000000" w:rsidRDefault="00000000" w:rsidRPr="00000000" w14:paraId="00000004">
      <w:pPr>
        <w:spacing w:after="280" w:before="280" w:lineRule="auto"/>
        <w:ind w:left="36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Adı ve Soyadı: </w:t>
      </w:r>
      <w:r w:rsidDel="00000000" w:rsidR="00000000" w:rsidRPr="00000000">
        <w:rPr>
          <w:rFonts w:ascii="Verdana" w:cs="Verdana" w:eastAsia="Verdana" w:hAnsi="Verdana"/>
          <w:sz w:val="20"/>
          <w:szCs w:val="20"/>
          <w:rtl w:val="0"/>
        </w:rPr>
        <w:t xml:space="preserve">Hakan Şentürk</w:t>
      </w:r>
      <w:r w:rsidDel="00000000" w:rsidR="00000000" w:rsidRPr="00000000">
        <w:rPr>
          <w:rtl w:val="0"/>
        </w:rPr>
      </w:r>
    </w:p>
    <w:p w:rsidR="00000000" w:rsidDel="00000000" w:rsidP="00000000" w:rsidRDefault="00000000" w:rsidRPr="00000000" w14:paraId="00000005">
      <w:pPr>
        <w:spacing w:after="280" w:before="280" w:lineRule="auto"/>
        <w:ind w:left="36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Doğum Tarihi: </w:t>
      </w:r>
      <w:r w:rsidDel="00000000" w:rsidR="00000000" w:rsidRPr="00000000">
        <w:rPr>
          <w:rFonts w:ascii="Verdana" w:cs="Verdana" w:eastAsia="Verdana" w:hAnsi="Verdana"/>
          <w:sz w:val="20"/>
          <w:szCs w:val="20"/>
          <w:rtl w:val="0"/>
        </w:rPr>
        <w:t xml:space="preserve">14/11/1971</w:t>
      </w:r>
      <w:r w:rsidDel="00000000" w:rsidR="00000000" w:rsidRPr="00000000">
        <w:rPr>
          <w:rtl w:val="0"/>
        </w:rPr>
      </w:r>
    </w:p>
    <w:p w:rsidR="00000000" w:rsidDel="00000000" w:rsidP="00000000" w:rsidRDefault="00000000" w:rsidRPr="00000000" w14:paraId="00000006">
      <w:pPr>
        <w:spacing w:after="280" w:before="280" w:lineRule="auto"/>
        <w:ind w:left="36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Doğum Yeri: </w:t>
      </w:r>
      <w:r w:rsidDel="00000000" w:rsidR="00000000" w:rsidRPr="00000000">
        <w:rPr>
          <w:rFonts w:ascii="Verdana" w:cs="Verdana" w:eastAsia="Verdana" w:hAnsi="Verdana"/>
          <w:sz w:val="20"/>
          <w:szCs w:val="20"/>
          <w:rtl w:val="0"/>
        </w:rPr>
        <w:t xml:space="preserve">Vöhrenbach/ALMANYA</w:t>
      </w:r>
      <w:r w:rsidDel="00000000" w:rsidR="00000000" w:rsidRPr="00000000">
        <w:rPr>
          <w:rtl w:val="0"/>
        </w:rPr>
      </w:r>
    </w:p>
    <w:p w:rsidR="00000000" w:rsidDel="00000000" w:rsidP="00000000" w:rsidRDefault="00000000" w:rsidRPr="00000000" w14:paraId="00000007">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Akademik Unvanı: </w:t>
      </w:r>
      <w:r w:rsidDel="00000000" w:rsidR="00000000" w:rsidRPr="00000000">
        <w:rPr>
          <w:rFonts w:ascii="Verdana" w:cs="Verdana" w:eastAsia="Verdana" w:hAnsi="Verdana"/>
          <w:sz w:val="20"/>
          <w:szCs w:val="20"/>
          <w:rtl w:val="0"/>
        </w:rPr>
        <w:t xml:space="preserve">Öğr. Gör.</w:t>
      </w:r>
    </w:p>
    <w:p w:rsidR="00000000" w:rsidDel="00000000" w:rsidP="00000000" w:rsidRDefault="00000000" w:rsidRPr="00000000" w14:paraId="00000008">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İş Telefonu: </w:t>
      </w:r>
      <w:r w:rsidDel="00000000" w:rsidR="00000000" w:rsidRPr="00000000">
        <w:rPr>
          <w:rFonts w:ascii="Verdana" w:cs="Verdana" w:eastAsia="Verdana" w:hAnsi="Verdana"/>
          <w:sz w:val="20"/>
          <w:szCs w:val="20"/>
          <w:rtl w:val="0"/>
        </w:rPr>
        <w:t xml:space="preserve">0 216 578 08 94</w:t>
      </w:r>
    </w:p>
    <w:p w:rsidR="00000000" w:rsidDel="00000000" w:rsidP="00000000" w:rsidRDefault="00000000" w:rsidRPr="00000000" w14:paraId="00000009">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Cep Telefonu: </w:t>
      </w:r>
      <w:r w:rsidDel="00000000" w:rsidR="00000000" w:rsidRPr="00000000">
        <w:rPr>
          <w:rFonts w:ascii="Verdana" w:cs="Verdana" w:eastAsia="Verdana" w:hAnsi="Verdana"/>
          <w:sz w:val="20"/>
          <w:szCs w:val="20"/>
          <w:rtl w:val="0"/>
        </w:rPr>
        <w:t xml:space="preserve">0 535 688 24 05</w:t>
      </w:r>
    </w:p>
    <w:p w:rsidR="00000000" w:rsidDel="00000000" w:rsidP="00000000" w:rsidRDefault="00000000" w:rsidRPr="00000000" w14:paraId="0000000A">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İş Adresi: </w:t>
      </w:r>
      <w:r w:rsidDel="00000000" w:rsidR="00000000" w:rsidRPr="00000000">
        <w:rPr>
          <w:rFonts w:ascii="Verdana" w:cs="Verdana" w:eastAsia="Verdana" w:hAnsi="Verdana"/>
          <w:sz w:val="20"/>
          <w:szCs w:val="20"/>
          <w:rtl w:val="0"/>
        </w:rPr>
        <w:t xml:space="preserve">Yeditepe Üniversitesi Writing Center Rektörlük Binası Kat 2 No: 2R27</w:t>
      </w:r>
    </w:p>
    <w:p w:rsidR="00000000" w:rsidDel="00000000" w:rsidP="00000000" w:rsidRDefault="00000000" w:rsidRPr="00000000" w14:paraId="0000000B">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E-postası: </w:t>
      </w:r>
      <w:r w:rsidDel="00000000" w:rsidR="00000000" w:rsidRPr="00000000">
        <w:rPr>
          <w:rFonts w:ascii="Verdana" w:cs="Verdana" w:eastAsia="Verdana" w:hAnsi="Verdana"/>
          <w:sz w:val="20"/>
          <w:szCs w:val="20"/>
          <w:rtl w:val="0"/>
        </w:rPr>
        <w:t xml:space="preserve">hsenturk@yeditepe.edu.tr</w:t>
      </w:r>
    </w:p>
    <w:p w:rsidR="00000000" w:rsidDel="00000000" w:rsidP="00000000" w:rsidRDefault="00000000" w:rsidRPr="00000000" w14:paraId="0000000C">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Bildiği Yabancı Diller (Puan ve Yılı): </w:t>
      </w:r>
      <w:r w:rsidDel="00000000" w:rsidR="00000000" w:rsidRPr="00000000">
        <w:rPr>
          <w:rFonts w:ascii="Verdana" w:cs="Verdana" w:eastAsia="Verdana" w:hAnsi="Verdana"/>
          <w:sz w:val="20"/>
          <w:szCs w:val="20"/>
          <w:rtl w:val="0"/>
        </w:rPr>
        <w:t xml:space="preserve">İngilizce TOEFL IBT 116/2014 / Almanca </w:t>
      </w:r>
    </w:p>
    <w:p w:rsidR="00000000" w:rsidDel="00000000" w:rsidP="00000000" w:rsidRDefault="00000000" w:rsidRPr="00000000" w14:paraId="0000000D">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Aldığı Sertifikalar: </w:t>
      </w:r>
      <w:r w:rsidDel="00000000" w:rsidR="00000000" w:rsidRPr="00000000">
        <w:rPr>
          <w:rFonts w:ascii="Verdana" w:cs="Verdana" w:eastAsia="Verdana" w:hAnsi="Verdana"/>
          <w:sz w:val="20"/>
          <w:szCs w:val="20"/>
          <w:rtl w:val="0"/>
        </w:rPr>
        <w:t xml:space="preserve">IB Diploma Programme English B Category 1-2</w:t>
      </w:r>
    </w:p>
    <w:p w:rsidR="00000000" w:rsidDel="00000000" w:rsidP="00000000" w:rsidRDefault="00000000" w:rsidRPr="00000000" w14:paraId="0000000E">
      <w:pPr>
        <w:spacing w:after="280" w:before="280" w:lineRule="auto"/>
        <w:ind w:left="36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Uzmanlık Alanı:</w:t>
      </w:r>
    </w:p>
    <w:tbl>
      <w:tblPr>
        <w:tblStyle w:val="Table1"/>
        <w:tblW w:w="9349.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098"/>
        <w:gridCol w:w="2707"/>
        <w:gridCol w:w="3565"/>
        <w:gridCol w:w="979"/>
        <w:tblGridChange w:id="0">
          <w:tblGrid>
            <w:gridCol w:w="2098"/>
            <w:gridCol w:w="2707"/>
            <w:gridCol w:w="3565"/>
            <w:gridCol w:w="97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Derece </w:t>
            </w: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tcPr>
          <w:p w:rsidR="00000000" w:rsidDel="00000000" w:rsidP="00000000" w:rsidRDefault="00000000" w:rsidRPr="00000000" w14:paraId="00000010">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Bölüm/Program</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11">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Üniversite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12">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Yıl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Lisans </w:t>
            </w:r>
          </w:p>
        </w:tc>
        <w:tc>
          <w:tcPr>
            <w:tcBorders>
              <w:top w:color="000000" w:space="0" w:sz="6" w:val="single"/>
              <w:left w:color="000000" w:space="0" w:sz="0" w:val="nil"/>
              <w:bottom w:color="000000" w:space="0" w:sz="4" w:val="single"/>
              <w:right w:color="000000" w:space="0" w:sz="4" w:val="single"/>
            </w:tcBorders>
          </w:tcPr>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Öğretmenliği</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Anadolu Üniversitesi</w:t>
            </w:r>
          </w:p>
        </w:tc>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1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1993</w:t>
            </w:r>
          </w:p>
        </w:tc>
      </w:tr>
      <w:tr>
        <w:trPr>
          <w:cantSplit w:val="0"/>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 Lisans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Öğretmenliği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Anadolu Üniversitesi</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01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1997</w:t>
            </w:r>
          </w:p>
        </w:tc>
      </w:tr>
      <w:tr>
        <w:trPr>
          <w:cantSplit w:val="0"/>
          <w:tblHeader w:val="0"/>
        </w:trPr>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Doktora </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Dil Eğitimi</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Boğaziçi Üniversitesi</w:t>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1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w:t>
            </w:r>
          </w:p>
        </w:tc>
      </w:tr>
    </w:tbl>
    <w:p w:rsidR="00000000" w:rsidDel="00000000" w:rsidP="00000000" w:rsidRDefault="00000000" w:rsidRPr="00000000" w14:paraId="0000001F">
      <w:pPr>
        <w:spacing w:after="280" w:before="2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Yüksek Lisans Tez Başlığı (özeti ekte) ve Tez Danışmanı:</w:t>
      </w:r>
    </w:p>
    <w:p w:rsidR="00000000" w:rsidDel="00000000" w:rsidP="00000000" w:rsidRDefault="00000000" w:rsidRPr="00000000" w14:paraId="00000020">
      <w:pPr>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Effects of Supplementary Computer Assisted Listening Instruction on Listening Comprehension Ability /Y.DOÇ.DR. Handan Kopkallı Yavuz</w:t>
      </w:r>
    </w:p>
    <w:p w:rsidR="00000000" w:rsidDel="00000000" w:rsidP="00000000" w:rsidRDefault="00000000" w:rsidRPr="00000000" w14:paraId="00000021">
      <w:pPr>
        <w:spacing w:after="280" w:before="2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Doktora Tez Başlığı (özeti ekte) ve Tez Danışmanı:</w:t>
      </w:r>
    </w:p>
    <w:p w:rsidR="00000000" w:rsidDel="00000000" w:rsidP="00000000" w:rsidRDefault="00000000" w:rsidRPr="00000000" w14:paraId="00000022">
      <w:pPr>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Identıty Construction and Negotiation among EFL Learners: A Case Study / Prof. Dr. Yasemin Bayyurt</w:t>
      </w:r>
    </w:p>
    <w:p w:rsidR="00000000" w:rsidDel="00000000" w:rsidP="00000000" w:rsidRDefault="00000000" w:rsidRPr="00000000" w14:paraId="00000023">
      <w:pP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280" w:before="2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Görevler: </w:t>
      </w:r>
    </w:p>
    <w:tbl>
      <w:tblPr>
        <w:tblStyle w:val="Table2"/>
        <w:tblW w:w="9631.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260"/>
        <w:gridCol w:w="5702"/>
        <w:gridCol w:w="1669"/>
        <w:tblGridChange w:id="0">
          <w:tblGrid>
            <w:gridCol w:w="2260"/>
            <w:gridCol w:w="5702"/>
            <w:gridCol w:w="1669"/>
          </w:tblGrid>
        </w:tblGridChange>
      </w:tblGrid>
      <w:tr>
        <w:trPr>
          <w:cantSplit w:val="1"/>
          <w:trHeight w:val="3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Görev Unvanı </w:t>
            </w: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tcPr>
          <w:p w:rsidR="00000000" w:rsidDel="00000000" w:rsidP="00000000" w:rsidRDefault="00000000" w:rsidRPr="00000000" w14:paraId="00000026">
            <w:pPr>
              <w:pStyle w:val="Heading1"/>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Görev Yeri</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27">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Yıl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 Gör.</w:t>
            </w:r>
          </w:p>
        </w:tc>
        <w:tc>
          <w:tcPr>
            <w:tcBorders>
              <w:top w:color="000000" w:space="0" w:sz="6" w:val="single"/>
              <w:left w:color="000000" w:space="0" w:sz="0" w:val="nil"/>
              <w:bottom w:color="000000" w:space="0" w:sz="4" w:val="single"/>
              <w:right w:color="000000" w:space="0" w:sz="4" w:val="single"/>
            </w:tcBorders>
          </w:tcPr>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Anadolu Üniversitesi İletişim Bilimler Fakültesi Hazırlık</w:t>
            </w:r>
          </w:p>
        </w:tc>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1993-1998</w:t>
            </w:r>
          </w:p>
        </w:tc>
      </w:tr>
      <w:tr>
        <w:trPr>
          <w:cantSplit w:val="1"/>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 Gör.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Yeditepe Üniversitesi İngilizce Hazırlık Okulu</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1999-2013</w:t>
            </w:r>
          </w:p>
        </w:tc>
      </w:tr>
      <w:tr>
        <w:trPr>
          <w:cantSplit w:val="1"/>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 Gör. / Danışman/Editör</w:t>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Yeditepe Üniversitesi Yazım Merkezi</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2013 - Bugün</w:t>
            </w:r>
          </w:p>
        </w:tc>
      </w:tr>
      <w:tr>
        <w:trPr>
          <w:cantSplit w:val="1"/>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 Gör.</w:t>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Yeditepe Üniversitesi Eğitim Fak. İngilizce Öğretmenliği </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2013- 2022</w:t>
            </w:r>
          </w:p>
        </w:tc>
      </w:tr>
      <w:tr>
        <w:trPr>
          <w:cantSplit w:val="1"/>
          <w:trHeight w:val="378.06640625" w:hRule="atLeast"/>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Dr. Öğrt. Üyesi</w:t>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Yeditepe Üniversitesi Eğitim Fak. İngilizce Öğretmenliği </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2022 - Bugün</w:t>
            </w:r>
          </w:p>
        </w:tc>
      </w:tr>
    </w:tbl>
    <w:p w:rsidR="00000000" w:rsidDel="00000000" w:rsidP="00000000" w:rsidRDefault="00000000" w:rsidRPr="00000000" w14:paraId="0000003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8">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İdari Görevler: </w:t>
      </w:r>
      <w:r w:rsidDel="00000000" w:rsidR="00000000" w:rsidRPr="00000000">
        <w:rPr>
          <w:rtl w:val="0"/>
        </w:rPr>
      </w:r>
    </w:p>
    <w:p w:rsidR="00000000" w:rsidDel="00000000" w:rsidP="00000000" w:rsidRDefault="00000000" w:rsidRPr="00000000" w14:paraId="00000039">
      <w:pPr>
        <w:spacing w:after="280" w:befor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2000 – 2010 Koordinatör Yardımcılığı – İngilizce Hazırlık Okulu</w:t>
      </w:r>
    </w:p>
    <w:p w:rsidR="00000000" w:rsidDel="00000000" w:rsidP="00000000" w:rsidRDefault="00000000" w:rsidRPr="00000000" w14:paraId="0000003A">
      <w:pPr>
        <w:spacing w:after="280" w:befor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2010 – 2013 Eğitim Teknolojileri Danışmanı - – İngilizce Hazırlık Okulu</w:t>
      </w:r>
    </w:p>
    <w:p w:rsidR="00000000" w:rsidDel="00000000" w:rsidP="00000000" w:rsidRDefault="00000000" w:rsidRPr="00000000" w14:paraId="0000003B">
      <w:pPr>
        <w:spacing w:after="280" w:befor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2013 - 2022 Writing Center Editör/Danışman</w:t>
        <w:tab/>
      </w:r>
    </w:p>
    <w:p w:rsidR="00000000" w:rsidDel="00000000" w:rsidP="00000000" w:rsidRDefault="00000000" w:rsidRPr="00000000" w14:paraId="0000003C">
      <w:pPr>
        <w:spacing w:after="280" w:befor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2022 - 2023 Writing Center Koordinatörlüğü</w:t>
      </w:r>
    </w:p>
    <w:p w:rsidR="00000000" w:rsidDel="00000000" w:rsidP="00000000" w:rsidRDefault="00000000" w:rsidRPr="00000000" w14:paraId="0000003D">
      <w:pPr>
        <w:spacing w:after="280" w:before="2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2023 -         Eğitim Fakültesi İngilizce Öğretmenliği Bölüm Başkanı</w:t>
      </w:r>
    </w:p>
    <w:p w:rsidR="00000000" w:rsidDel="00000000" w:rsidP="00000000" w:rsidRDefault="00000000" w:rsidRPr="00000000" w14:paraId="0000003E">
      <w:pPr>
        <w:spacing w:after="280" w:before="2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Yayınlar</w:t>
      </w:r>
    </w:p>
    <w:p w:rsidR="00000000" w:rsidDel="00000000" w:rsidP="00000000" w:rsidRDefault="00000000" w:rsidRPr="00000000" w14:paraId="0000003F">
      <w:pPr>
        <w:spacing w:after="280" w:before="280" w:line="276" w:lineRule="auto"/>
        <w:ind w:left="397" w:hanging="397"/>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Bayyurt, Y., &amp; Şentürk, H. (2021). The ELF Discourse. In Cavalheiro, L., Guerra, L., Pereira, R., </w:t>
      </w:r>
      <w:r w:rsidDel="00000000" w:rsidR="00000000" w:rsidRPr="00000000">
        <w:rPr>
          <w:rFonts w:ascii="Verdana" w:cs="Verdana" w:eastAsia="Verdana" w:hAnsi="Verdana"/>
          <w:i w:val="1"/>
          <w:sz w:val="20"/>
          <w:szCs w:val="20"/>
          <w:rtl w:val="0"/>
        </w:rPr>
        <w:t xml:space="preserve">The Handbook to English as a Lingua Franca Practices for Inclusive Multilingual Classrooms</w:t>
      </w:r>
      <w:r w:rsidDel="00000000" w:rsidR="00000000" w:rsidRPr="00000000">
        <w:rPr>
          <w:rFonts w:ascii="Verdana" w:cs="Verdana" w:eastAsia="Verdana" w:hAnsi="Verdana"/>
          <w:sz w:val="20"/>
          <w:szCs w:val="20"/>
          <w:rtl w:val="0"/>
        </w:rPr>
        <w:t xml:space="preserve"> (pp. 86-93). Humus. </w:t>
      </w:r>
      <w:hyperlink r:id="rId7">
        <w:r w:rsidDel="00000000" w:rsidR="00000000" w:rsidRPr="00000000">
          <w:rPr>
            <w:rFonts w:ascii="Verdana" w:cs="Verdana" w:eastAsia="Verdana" w:hAnsi="Verdana"/>
            <w:color w:val="0563c1"/>
            <w:sz w:val="20"/>
            <w:szCs w:val="20"/>
            <w:u w:val="single"/>
            <w:rtl w:val="0"/>
          </w:rPr>
          <w:t xml:space="preserve">http://enrichproject.eu/handbook</w:t>
        </w:r>
      </w:hyperlink>
      <w:r w:rsidDel="00000000" w:rsidR="00000000" w:rsidRPr="00000000">
        <w:rPr>
          <w:rtl w:val="0"/>
        </w:rPr>
      </w:r>
    </w:p>
    <w:p w:rsidR="00000000" w:rsidDel="00000000" w:rsidP="00000000" w:rsidRDefault="00000000" w:rsidRPr="00000000" w14:paraId="00000040">
      <w:pPr>
        <w:spacing w:after="280" w:before="280" w:line="276" w:lineRule="auto"/>
        <w:ind w:left="397" w:hanging="397"/>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Erduyan, I., Bektaş, S., Şentürk, H. (in press). Language Teachers' Responses to Multilingual Classrooms: A Linguistic Ideological Perspective. </w:t>
      </w:r>
      <w:r w:rsidDel="00000000" w:rsidR="00000000" w:rsidRPr="00000000">
        <w:rPr>
          <w:rFonts w:ascii="Verdana" w:cs="Verdana" w:eastAsia="Verdana" w:hAnsi="Verdana"/>
          <w:i w:val="1"/>
          <w:sz w:val="20"/>
          <w:szCs w:val="20"/>
          <w:rtl w:val="0"/>
        </w:rPr>
        <w:t xml:space="preserve">Boğaziçi University Journal of Education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Special Issue</w:t>
      </w:r>
      <w:r w:rsidDel="00000000" w:rsidR="00000000" w:rsidRPr="00000000">
        <w:rPr>
          <w:rFonts w:ascii="Verdana" w:cs="Verdana" w:eastAsia="Verdana" w:hAnsi="Verdana"/>
          <w:sz w:val="20"/>
          <w:szCs w:val="20"/>
          <w:rtl w:val="0"/>
        </w:rPr>
        <w:t xml:space="preserve">, 38</w:t>
      </w:r>
    </w:p>
    <w:p w:rsidR="00000000" w:rsidDel="00000000" w:rsidP="00000000" w:rsidRDefault="00000000" w:rsidRPr="00000000" w14:paraId="00000041">
      <w:pPr>
        <w:spacing w:after="280" w:before="28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Projelerde Yaptığı Görevler: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Araştırmacı / ENRICH (English as a lingua franca practices for inclusive multilingual classrooms) ERASMUS+ Proje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2018-1-EL01-KA201-047894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Konferans ve Seminer Sunumları</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Erduyan, I., Bayyurt, Y., Bektaş, S., Şentürk, H. (Şubat, 2021).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Language Teachers’ Responses to Multilingual Classrooms: A Linguistic Ideological Perspective”.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ELF DAY 5: ENRICHing Pedagogical Issues and Concerns in ELF Research. Istanbul.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Şentürk, H. (Haziran, 2014). “How to Integrate Technology into your Language Teaching” (Workshop). Ecole Centrale Paris. Paris, France. </w:t>
      </w:r>
    </w:p>
    <w:p w:rsidR="00000000" w:rsidDel="00000000" w:rsidP="00000000" w:rsidRDefault="00000000" w:rsidRPr="00000000" w14:paraId="00000047">
      <w:pPr>
        <w:tabs>
          <w:tab w:val="left" w:leader="none" w:pos="945"/>
        </w:tabs>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Şentürk, H. (Haziran, 2014). “Bringing Technology into the Classroom” (Plenary). Diltaş Eğitim Kurumları ELT Seminars “Developments in Language Teaching at Schools”. Konya.</w:t>
      </w:r>
    </w:p>
    <w:p w:rsidR="00000000" w:rsidDel="00000000" w:rsidP="00000000" w:rsidRDefault="00000000" w:rsidRPr="00000000" w14:paraId="00000048">
      <w:pPr>
        <w:tabs>
          <w:tab w:val="left" w:leader="none" w:pos="945"/>
        </w:tabs>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Şentürk, H. (Kasım, 2013). “Dogme 2.1: Using Springpad to Create an Online Coursebook for the Dogme Classroom”. TESOL France 31st Annual Colloquium 2012, Telecom Paris Tech, Paris/France</w:t>
      </w:r>
    </w:p>
    <w:p w:rsidR="00000000" w:rsidDel="00000000" w:rsidP="00000000" w:rsidRDefault="00000000" w:rsidRPr="00000000" w14:paraId="00000049">
      <w:pPr>
        <w:tabs>
          <w:tab w:val="left" w:leader="none" w:pos="945"/>
        </w:tabs>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Şentürk, H. (Nisan, 2013). “Dogme 2.1: Using Springpad to Create an Online Coursebook for the Dogme Classroom”. 47th Annual International IATEFL Conference and Exhibition, Liverpool/UK</w:t>
      </w:r>
    </w:p>
    <w:p w:rsidR="00000000" w:rsidDel="00000000" w:rsidP="00000000" w:rsidRDefault="00000000" w:rsidRPr="00000000" w14:paraId="0000004A">
      <w:pPr>
        <w:tabs>
          <w:tab w:val="left" w:leader="none" w:pos="945"/>
        </w:tabs>
        <w:spacing w:after="280" w:before="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Şentürk, H. (Mart, 2012). “”Zooming into the Reading Class: Prezi”. 46th Annual International IATEFL Conference and Exhibition, SECC Glasgow/Scotland</w:t>
      </w:r>
    </w:p>
    <w:p w:rsidR="00000000" w:rsidDel="00000000" w:rsidP="00000000" w:rsidRDefault="00000000" w:rsidRPr="00000000" w14:paraId="0000004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C">
      <w:pPr>
        <w:spacing w:after="280" w:before="2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Son iki yılda verdiği lisans ve lisansüstü düzeydeki dersler </w:t>
      </w:r>
      <w:r w:rsidDel="00000000" w:rsidR="00000000" w:rsidRPr="00000000">
        <w:rPr>
          <w:rFonts w:ascii="Verdana" w:cs="Verdana" w:eastAsia="Verdana" w:hAnsi="Verdana"/>
          <w:sz w:val="20"/>
          <w:szCs w:val="20"/>
          <w:rtl w:val="0"/>
        </w:rPr>
        <w:t xml:space="preserve">(Açılmışsa,</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yaz</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döneminde verilen dersler de tabloya ilave edilecektir)</w:t>
      </w:r>
      <w:r w:rsidDel="00000000" w:rsidR="00000000" w:rsidRPr="00000000">
        <w:rPr>
          <w:rFonts w:ascii="Verdana" w:cs="Verdana" w:eastAsia="Verdana" w:hAnsi="Verdana"/>
          <w:b w:val="1"/>
          <w:sz w:val="20"/>
          <w:szCs w:val="20"/>
          <w:rtl w:val="0"/>
        </w:rPr>
        <w:t xml:space="preserve">: </w:t>
      </w:r>
    </w:p>
    <w:tbl>
      <w:tblPr>
        <w:tblStyle w:val="Table3"/>
        <w:tblW w:w="906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326"/>
        <w:gridCol w:w="1133"/>
        <w:gridCol w:w="3250"/>
        <w:gridCol w:w="925"/>
        <w:gridCol w:w="1339"/>
        <w:gridCol w:w="1087"/>
        <w:tblGridChange w:id="0">
          <w:tblGrid>
            <w:gridCol w:w="1326"/>
            <w:gridCol w:w="1133"/>
            <w:gridCol w:w="3250"/>
            <w:gridCol w:w="925"/>
            <w:gridCol w:w="1339"/>
            <w:gridCol w:w="1087"/>
          </w:tblGrid>
        </w:tblGridChange>
      </w:tblGrid>
      <w:tr>
        <w:trPr>
          <w:cantSplit w:val="1"/>
          <w:tblHeader w:val="0"/>
        </w:trPr>
        <w:tc>
          <w:tcPr>
            <w:vMerge w:val="restart"/>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4D">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Akademik Yıl </w:t>
            </w:r>
            <w:r w:rsidDel="00000000" w:rsidR="00000000" w:rsidRPr="00000000">
              <w:rPr>
                <w:rtl w:val="0"/>
              </w:rPr>
            </w:r>
          </w:p>
        </w:tc>
        <w:tc>
          <w:tcPr>
            <w:vMerge w:val="restart"/>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4E">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Dönem </w:t>
            </w:r>
            <w:r w:rsidDel="00000000" w:rsidR="00000000" w:rsidRPr="00000000">
              <w:rPr>
                <w:rtl w:val="0"/>
              </w:rPr>
            </w:r>
          </w:p>
        </w:tc>
        <w:tc>
          <w:tcPr>
            <w:vMerge w:val="restart"/>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4F">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Dersin Adı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Haftalık Saati </w:t>
            </w:r>
            <w:r w:rsidDel="00000000" w:rsidR="00000000" w:rsidRPr="00000000">
              <w:rPr>
                <w:rtl w:val="0"/>
              </w:rPr>
            </w:r>
          </w:p>
        </w:tc>
        <w:tc>
          <w:tcPr>
            <w:vMerge w:val="restart"/>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2">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Öğrenci Sayısı </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Teorik </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Uygulama </w:t>
            </w:r>
            <w:r w:rsidDel="00000000" w:rsidR="00000000" w:rsidRPr="00000000">
              <w:rPr>
                <w:rtl w:val="0"/>
              </w:rPr>
            </w:r>
          </w:p>
        </w:tc>
        <w:tc>
          <w:tcPr>
            <w:vMerge w:val="continue"/>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r>
      <w:tr>
        <w:trPr>
          <w:cantSplit w:val="1"/>
          <w:tblHeader w:val="0"/>
        </w:trPr>
        <w:tc>
          <w:tcPr>
            <w:vMerge w:val="restart"/>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5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2020-2021 </w:t>
            </w:r>
          </w:p>
        </w:tc>
        <w:tc>
          <w:tcPr>
            <w:vMerge w:val="restart"/>
            <w:tcBorders>
              <w:top w:color="000000" w:space="0" w:sz="6" w:val="single"/>
              <w:left w:color="000000" w:space="0" w:sz="4" w:val="single"/>
              <w:right w:color="000000" w:space="0" w:sz="4" w:val="single"/>
            </w:tcBorders>
            <w:vAlign w:val="center"/>
          </w:tcPr>
          <w:p w:rsidR="00000000" w:rsidDel="00000000" w:rsidP="00000000" w:rsidRDefault="00000000" w:rsidRPr="00000000" w14:paraId="0000005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Güz </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Sözlü İletişim</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6" w:val="single"/>
              <w:left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Öğrenme ve Öğretim Yaklaşımları</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6" w:val="single"/>
              <w:left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Eğitiminde Materyal Değerlendirmesi, Adaptasyonu ve Geliştirilmesi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6" w:val="single"/>
              <w:left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Uygulamalı Dilbilimciler için Akademik Yazım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Bahar </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Sözlü İletişim Becerileri 2</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Verdana" w:cs="Verdana" w:eastAsia="Verdana" w:hAnsi="Verdana"/>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Öğretim Programları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Öğretmenlik Uygulaması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r>
      <w:tr>
        <w:trPr>
          <w:cantSplit w:val="1"/>
          <w:tblHeader w:val="0"/>
        </w:trPr>
        <w:tc>
          <w:tcPr>
            <w:vMerge w:val="continue"/>
            <w:tcBorders>
              <w:top w:color="000000" w:space="0" w:sz="6"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5">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IB İngilizce B Öğretim Programı Çalışmaları</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6">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7">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r>
      <w:tr>
        <w:trPr>
          <w:cantSplit w:val="1"/>
          <w:tblHeader w:val="0"/>
        </w:trPr>
        <w:tc>
          <w:tcPr>
            <w:vMerge w:val="restart"/>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8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2021-2022 </w:t>
            </w:r>
          </w:p>
        </w:tc>
        <w:tc>
          <w:tcPr>
            <w:vMerge w:val="restart"/>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8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Güz </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Tümleşik Dil Becerilerinin Öğretilmesi</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center"/>
              <w:rPr>
                <w:rFonts w:ascii="Verdana" w:cs="Verdana" w:eastAsia="Verdana" w:hAnsi="Verdana"/>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Eğitiminde Materyal Tasarımı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Öğrenme ve Öğretim Yaklaşımları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9D">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IB İngilizce B Öğretim Programı Çalışmaları</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9E">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9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A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Bahar</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Öğretim Programları  </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rFonts w:ascii="Verdana" w:cs="Verdana" w:eastAsia="Verdana" w:hAnsi="Verdana"/>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İngilizce Ders Kitabı İncelemesi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Uygulamalı Dilbilimciler için Akademik Yazım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IB İngilizce B Öğretim Programı Çalışmaları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r>
      <w:tr>
        <w:trPr>
          <w:cantSplit w:val="1"/>
          <w:tblHeader w:val="0"/>
        </w:trPr>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tabs>
                <w:tab w:val="left" w:leader="none" w:pos="945"/>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Özel Öğretim Yöntemleri (Pedagojik Formasyon)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r>
    </w:tbl>
    <w:p w:rsidR="00000000" w:rsidDel="00000000" w:rsidP="00000000" w:rsidRDefault="00000000" w:rsidRPr="00000000" w14:paraId="000000BF">
      <w:pPr>
        <w:spacing w:after="280" w:before="28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spacing w:after="280" w:before="280" w:lineRule="auto"/>
        <w:jc w:val="both"/>
        <w:rPr>
          <w:rFonts w:ascii="Verdana" w:cs="Verdana" w:eastAsia="Verdana" w:hAnsi="Verdana"/>
          <w:b w:val="1"/>
          <w:sz w:val="20"/>
          <w:szCs w:val="20"/>
        </w:rPr>
      </w:pPr>
      <w:r w:rsidDel="00000000" w:rsidR="00000000" w:rsidRPr="00000000">
        <w:br w:type="page"/>
      </w:r>
      <w:r w:rsidDel="00000000" w:rsidR="00000000" w:rsidRPr="00000000">
        <w:rPr>
          <w:rFonts w:ascii="Verdana" w:cs="Verdana" w:eastAsia="Verdana" w:hAnsi="Verdana"/>
          <w:b w:val="1"/>
          <w:sz w:val="20"/>
          <w:szCs w:val="20"/>
          <w:rtl w:val="0"/>
        </w:rPr>
        <w:t xml:space="preserve">Ek A: Yüksek Lisans Tezi Özet:</w:t>
      </w:r>
    </w:p>
    <w:p w:rsidR="00000000" w:rsidDel="00000000" w:rsidP="00000000" w:rsidRDefault="00000000" w:rsidRPr="00000000" w14:paraId="000000C1">
      <w:pPr>
        <w:spacing w:after="280" w:before="280" w:line="360" w:lineRule="auto"/>
        <w:ind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 çalışma bilgisayar destekli dinleme-anlama dersinin, dinleme-anlama yetisine olan etkisini araştırmaktadır. Biliyoruz ki teknoloji günden güne gelişmektedir ve sınıflarımızda yerini almaktadır. Bu teknolojilerden birisi bilgisayardır. Bilgisayar destekli eğitim veya BDE bu günlerde sıkça duyduğumuz bir terimdir. Bilgisayar destekli dil eğitimin bu günlerde dil eğitimindeki etkililiği de tartışılmaktadır. Hala bilgisayar destekli dil eğitimi ile ilgili yeterince deneysel çalışma yapılmamıştır ve bu yüzden de etkililiği tam olarak bilinmemektedir. Bu nedenden dolayı, bu deneysel çalışma, bilgisayar destekli dil eğitimin, İngilizce dinleme-anlama yetisine olan etkisini incelemektedir. Bu çalışma Anadolu Üniversitesi İletişim Bilimleri Fakültesi ve Eğitim Fakültesi İngilizce Hazırlık programında gerçekleşmiştir. Çalışmaya toplam 40 öğrenci katılmıştır. Bu 40 öğrenci iki gruba ayrılmıştır; deneysel grup (bilgisayar destekli grup) ve kontrol grubu (geleneksel eğitim grubu). Her iki grup ders programlan doğrultusunda dinleme-anlama dersi almıştır. Ek ders olarak deneysel grup, bilgisayar laboratuvarında 20 saat bilgisayar destekli dinleme- anlama dersi almıştır. Kontrol grup ise yine ek ders olarak sınıf içinde geleneksel şekilde 20 saat dinleme-anlama dersi almıştır. Derslerinin içeriği bilgisayar programının kitap haline getirilerek, bilgisayar destekli grubun ders içeriği ile aynı tutulmuştur. Bu durumda iki grup arasındaki fark, öğrenme araçlarıdır. Her iki grup bir öntest ve bir sontest almıştır. Ayrıca çalışmanın sonunda bilgisayar destekli grup, bilgisayara karşı tutumların ölçen bir anket almıştır. Çalışmanın sonuçlarına göre, deney sonunda iki grup arasında anlamlı fark yoktur. Sadece TOEFL bölümünde kontrol grubu anlamlı bir gelişme sağlamıştır. Bilgisayara karşı tutum anketinin sonuçlarına göre öğrenciler bilgisayar destekli eğitime karşı pozitif bir tutumları olduğu ortaya çıkmıştır. En önemli bulgu ise deneysel grubun öntest ve sontest'i karşılaştırıldığında, testler arasında anlamlı bir fark olduğudur. Fakat bu fark, kontrol grubunda yoktu. Yani deneysel grup kendi arasında anlamlı bir gelişme sağlamıştır fakat kontrol grubu bu gelişmeyi sağlayamamıştır. Sonuç olarak diyebiliriz ki, bilgisayar destekli dinleme-anlama eğitimi geleneksel dinleme anlama dersinden daha üstün bir gelişmeye neden olmamış fakat bilgisayarın öğrencilerin daha hızlı öğrenmelerine yardımcı olduğu gözlenmiştir. </w:t>
      </w:r>
    </w:p>
    <w:p w:rsidR="00000000" w:rsidDel="00000000" w:rsidP="00000000" w:rsidRDefault="00000000" w:rsidRPr="00000000" w14:paraId="000000C2">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3">
      <w:pPr>
        <w:spacing w:after="280" w:before="280"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EK B: Doktora Tezi Özet</w:t>
      </w:r>
    </w:p>
    <w:p w:rsidR="00000000" w:rsidDel="00000000" w:rsidP="00000000" w:rsidRDefault="00000000" w:rsidRPr="00000000" w14:paraId="000000C4">
      <w:pPr>
        <w:spacing w:after="280" w:before="280" w:line="360" w:lineRule="auto"/>
        <w:rPr>
          <w:rFonts w:ascii="Verdana" w:cs="Verdana" w:eastAsia="Verdana" w:hAnsi="Verdana"/>
          <w:sz w:val="20"/>
          <w:szCs w:val="20"/>
        </w:rPr>
      </w:pPr>
      <w:bookmarkStart w:colFirst="0" w:colLast="0" w:name="_heading=h.gjdgxs" w:id="0"/>
      <w:bookmarkEnd w:id="0"/>
      <w:r w:rsidDel="00000000" w:rsidR="00000000" w:rsidRPr="00000000">
        <w:rPr>
          <w:rFonts w:ascii="Verdana" w:cs="Verdana" w:eastAsia="Verdana" w:hAnsi="Verdana"/>
          <w:sz w:val="20"/>
          <w:szCs w:val="20"/>
          <w:rtl w:val="0"/>
        </w:rPr>
        <w:t xml:space="preserve">Bu çalışmanın amacı, Türkiye'de özel bir üniversitenin İngilizce Hazırlık Programında ikinci dil öğrenimi ile kimlik inşası arasındaki ilişkinin ayrıntılı bir çalışmasını vermektir. Bu araçsal çoklu vaka çalışması, COVID19 salgını sırasında çevrimiçi eğitim de dahil olmak üzere bir yılı aşkın bir süredir İngilizce öğrenme süreçleri sırasında görüşmeler, sınıf gözlemleri, ses kayıtları ve öğrenme günlüğü girişleri yoluyla toplanan beş İngilizce Hazırlık Okulu öğrencisinin anlatılarına dayanmaktadır. Veri analizinin sonuçları, katılımcıların okulda/evde dil öğrenme yolculukları sırasında ikinci dil kimliklerinin oluşumu, geçmiş ve şimdiki öğrenme deneyimlerindeki çoklu ve dinamik kimlik müzakerelerden oluşan örneklerle işaretlendiğini göstermektedir. Katılımcıların hem yüz yüze hem de çevrimiçi bir uygulama topluluğu arayışı, ikinci dil öğrenen ve kullanan olarak öğrenen/kullanıcı/konuşmacı konumlarının akışkan doğası, ikinci dil öğrenim yolculuğuna başlamadan önce ve sonraki hayali kimlikleri ve ikinci dil yatırımları ayrıntılı olarak tartışılmaktadır. Sonuçlar, dil öğrenme süreci sırasında ikinci dil kimlik yapılarının incelenmesinin uygulamalı dilbilim ve genel olarak İngilizce öğretimi ve öğrenimi alanında nasıl etkileri olduğunu göstermektedir. Bu çalışmanın bulgularına dayalı olarak, İngilizce öğretimi ve öğrenimi alanında daha sonraki çalışmalara ve uygulamalara yönelik önerilerde bulunulmuştur.</w:t>
      </w:r>
    </w:p>
    <w:p w:rsidR="00000000" w:rsidDel="00000000" w:rsidP="00000000" w:rsidRDefault="00000000" w:rsidRPr="00000000" w14:paraId="000000C5">
      <w:pPr>
        <w:spacing w:before="280" w:line="360" w:lineRule="auto"/>
        <w:rPr>
          <w:rFonts w:ascii="Verdana" w:cs="Verdana" w:eastAsia="Verdana" w:hAnsi="Verdana"/>
          <w:sz w:val="20"/>
          <w:szCs w:val="20"/>
        </w:rPr>
      </w:pPr>
      <w:r w:rsidDel="00000000" w:rsidR="00000000" w:rsidRPr="00000000">
        <w:rPr>
          <w:rtl w:val="0"/>
        </w:rPr>
      </w:r>
    </w:p>
    <w:sectPr>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80"/>
    </w:rPr>
  </w:style>
  <w:style w:type="paragraph" w:styleId="Heading2">
    <w:name w:val="heading 2"/>
    <w:basedOn w:val="Normal"/>
    <w:next w:val="Normal"/>
    <w:pPr>
      <w:keepNext w:val="1"/>
      <w:ind w:left="360" w:hanging="360"/>
      <w:jc w:val="both"/>
    </w:pPr>
    <w:rPr>
      <w:b w:val="1"/>
      <w:color w:val="000080"/>
    </w:rPr>
  </w:style>
  <w:style w:type="paragraph" w:styleId="Heading3">
    <w:name w:val="heading 3"/>
    <w:basedOn w:val="Normal"/>
    <w:next w:val="Normal"/>
    <w:pPr>
      <w:keepNext w:val="1"/>
      <w:ind w:left="360" w:hanging="360"/>
      <w:jc w:val="both"/>
    </w:pPr>
    <w:rPr>
      <w:i w:val="1"/>
      <w:color w:val="000080"/>
    </w:rPr>
  </w:style>
  <w:style w:type="paragraph" w:styleId="Heading4">
    <w:name w:val="heading 4"/>
    <w:basedOn w:val="Normal"/>
    <w:next w:val="Normal"/>
    <w:pPr>
      <w:keepNext w:val="1"/>
      <w:ind w:hanging="360"/>
      <w:jc w:val="both"/>
    </w:pPr>
    <w:rPr>
      <w:rFonts w:ascii="Verdana" w:cs="Verdana" w:eastAsia="Verdana" w:hAnsi="Verdana"/>
      <w:b w:val="1"/>
      <w:color w:val="000080"/>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80"/>
    </w:rPr>
  </w:style>
  <w:style w:type="paragraph" w:styleId="Normal" w:default="1">
    <w:name w:val="Normal"/>
    <w:qFormat w:val="1"/>
    <w:rPr>
      <w:sz w:val="24"/>
      <w:szCs w:val="24"/>
      <w:lang w:val="tr-TR"/>
    </w:rPr>
  </w:style>
  <w:style w:type="paragraph" w:styleId="Heading1">
    <w:name w:val="heading 1"/>
    <w:basedOn w:val="Normal"/>
    <w:next w:val="Normal"/>
    <w:qFormat w:val="1"/>
    <w:pPr>
      <w:keepNext w:val="1"/>
      <w:spacing w:after="100" w:afterAutospacing="1" w:before="100" w:beforeAutospacing="1"/>
      <w:jc w:val="center"/>
      <w:outlineLvl w:val="0"/>
    </w:pPr>
    <w:rPr>
      <w:b w:val="1"/>
      <w:color w:val="000080"/>
      <w:szCs w:val="20"/>
      <w:lang w:val="en-AU"/>
    </w:rPr>
  </w:style>
  <w:style w:type="paragraph" w:styleId="Heading2">
    <w:name w:val="heading 2"/>
    <w:basedOn w:val="Normal"/>
    <w:next w:val="Normal"/>
    <w:qFormat w:val="1"/>
    <w:pPr>
      <w:keepNext w:val="1"/>
      <w:tabs>
        <w:tab w:val="num" w:pos="360"/>
      </w:tabs>
      <w:spacing w:after="100" w:afterAutospacing="1" w:before="100" w:beforeAutospacing="1"/>
      <w:ind w:left="360" w:hanging="360"/>
      <w:jc w:val="both"/>
      <w:outlineLvl w:val="1"/>
    </w:pPr>
    <w:rPr>
      <w:b w:val="1"/>
      <w:color w:val="000080"/>
      <w:szCs w:val="20"/>
    </w:rPr>
  </w:style>
  <w:style w:type="paragraph" w:styleId="Heading3">
    <w:name w:val="heading 3"/>
    <w:basedOn w:val="Normal"/>
    <w:next w:val="Normal"/>
    <w:qFormat w:val="1"/>
    <w:pPr>
      <w:keepNext w:val="1"/>
      <w:tabs>
        <w:tab w:val="num" w:pos="360"/>
      </w:tabs>
      <w:spacing w:after="100" w:afterAutospacing="1" w:before="100" w:beforeAutospacing="1"/>
      <w:ind w:left="360" w:hanging="360"/>
      <w:jc w:val="both"/>
      <w:outlineLvl w:val="2"/>
    </w:pPr>
    <w:rPr>
      <w:bCs w:val="1"/>
      <w:i w:val="1"/>
      <w:iCs w:val="1"/>
      <w:color w:val="000080"/>
      <w:szCs w:val="20"/>
    </w:rPr>
  </w:style>
  <w:style w:type="paragraph" w:styleId="Heading4">
    <w:name w:val="heading 4"/>
    <w:basedOn w:val="Normal"/>
    <w:next w:val="Normal"/>
    <w:qFormat w:val="1"/>
    <w:pPr>
      <w:keepNext w:val="1"/>
      <w:tabs>
        <w:tab w:val="num" w:pos="0"/>
      </w:tabs>
      <w:spacing w:after="100" w:afterAutospacing="1" w:before="100" w:beforeAutospacing="1"/>
      <w:ind w:hanging="360"/>
      <w:jc w:val="both"/>
      <w:outlineLvl w:val="3"/>
    </w:pPr>
    <w:rPr>
      <w:rFonts w:ascii="Verdana" w:hAnsi="Verdana"/>
      <w:b w:val="1"/>
      <w:color w:val="000080"/>
      <w:sz w:val="22"/>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pPr>
      <w:spacing w:after="100" w:afterAutospacing="1" w:before="100" w:beforeAutospacing="1"/>
    </w:pPr>
    <w:rPr>
      <w:rFonts w:ascii="Arial Unicode MS" w:cs="Arial Unicode MS" w:eastAsia="Arial Unicode MS" w:hAnsi="Arial Unicode MS"/>
      <w:lang w:val="en-US"/>
    </w:rPr>
  </w:style>
  <w:style w:type="paragraph" w:styleId="Title">
    <w:name w:val="Title"/>
    <w:basedOn w:val="Normal"/>
    <w:qFormat w:val="1"/>
    <w:pPr>
      <w:spacing w:after="100" w:afterAutospacing="1" w:before="100" w:beforeAutospacing="1"/>
      <w:jc w:val="center"/>
    </w:pPr>
    <w:rPr>
      <w:b w:val="1"/>
      <w:color w:val="000080"/>
      <w:szCs w:val="20"/>
    </w:rPr>
  </w:style>
  <w:style w:type="paragraph" w:styleId="BodyTextIndent">
    <w:name w:val="Body Text Indent"/>
    <w:basedOn w:val="Normal"/>
    <w:pPr>
      <w:tabs>
        <w:tab w:val="num" w:pos="0"/>
      </w:tabs>
      <w:spacing w:after="100" w:afterAutospacing="1" w:before="100" w:beforeAutospacing="1"/>
      <w:ind w:hanging="360"/>
      <w:jc w:val="both"/>
    </w:pPr>
    <w:rPr>
      <w:rFonts w:ascii="Verdana" w:hAnsi="Verdana"/>
      <w:b w:val="1"/>
      <w:color w:val="000080"/>
      <w:sz w:val="22"/>
      <w:szCs w:val="20"/>
    </w:rPr>
  </w:style>
  <w:style w:type="paragraph" w:styleId="Header">
    <w:name w:val="header"/>
    <w:basedOn w:val="Normal"/>
    <w:link w:val="HeaderChar"/>
    <w:uiPriority w:val="99"/>
    <w:rsid w:val="004B466A"/>
    <w:pPr>
      <w:tabs>
        <w:tab w:val="center" w:pos="4536"/>
        <w:tab w:val="right" w:pos="9072"/>
      </w:tabs>
    </w:pPr>
  </w:style>
  <w:style w:type="character" w:styleId="HeaderChar" w:customStyle="1">
    <w:name w:val="Header Char"/>
    <w:link w:val="Header"/>
    <w:uiPriority w:val="99"/>
    <w:rsid w:val="004B466A"/>
    <w:rPr>
      <w:sz w:val="24"/>
      <w:szCs w:val="24"/>
      <w:lang w:eastAsia="en-US"/>
    </w:rPr>
  </w:style>
  <w:style w:type="paragraph" w:styleId="Footer">
    <w:name w:val="footer"/>
    <w:basedOn w:val="Normal"/>
    <w:link w:val="FooterChar"/>
    <w:rsid w:val="004B466A"/>
    <w:pPr>
      <w:tabs>
        <w:tab w:val="center" w:pos="4536"/>
        <w:tab w:val="right" w:pos="9072"/>
      </w:tabs>
    </w:pPr>
  </w:style>
  <w:style w:type="character" w:styleId="FooterChar" w:customStyle="1">
    <w:name w:val="Footer Char"/>
    <w:link w:val="Footer"/>
    <w:rsid w:val="004B466A"/>
    <w:rPr>
      <w:sz w:val="24"/>
      <w:szCs w:val="24"/>
      <w:lang w:eastAsia="en-US"/>
    </w:rPr>
  </w:style>
  <w:style w:type="character" w:styleId="Hyperlink">
    <w:name w:val="Hyperlink"/>
    <w:basedOn w:val="DefaultParagraphFont"/>
    <w:rsid w:val="00B6133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nrichproject.e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LcoyIt3eh0428VibzNQ3UJXFQ==">CgMxLjAyCGguZ2pkZ3hzOAByITFKbFBmdms1Y1JRemNnemhxOHc1MmV0S2ZPX1JfdG4xdA==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2021-11-19T07:01:00Z</dcterms:created>
  <dc:creator>hsenturk@yeditepe.edu.tr</dc:creator>
</cp:coreProperties>
</file>