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A7" w:rsidRDefault="00A77CA7" w:rsidP="00A77CA7">
      <w:pPr>
        <w:spacing w:before="120" w:after="120" w:line="360" w:lineRule="auto"/>
        <w:ind w:firstLine="720"/>
        <w:jc w:val="center"/>
        <w:rPr>
          <w:rFonts w:ascii="Times New Roman" w:eastAsia="Times New Roman" w:hAnsi="Times New Roman" w:cs="Times New Roman"/>
          <w:sz w:val="24"/>
          <w:szCs w:val="24"/>
        </w:rPr>
      </w:pPr>
      <w:bookmarkStart w:id="0" w:name="_GoBack"/>
      <w:r>
        <w:rPr>
          <w:rFonts w:ascii="Times New Roman" w:hAnsi="Times New Roman"/>
          <w:b/>
          <w:sz w:val="24"/>
          <w:szCs w:val="24"/>
        </w:rPr>
        <w:t xml:space="preserve">İNGİLİZCE ÖĞRETMENLİĞİ </w:t>
      </w:r>
      <w:r w:rsidRPr="0045732E">
        <w:rPr>
          <w:rFonts w:ascii="Times New Roman" w:hAnsi="Times New Roman"/>
          <w:b/>
          <w:sz w:val="24"/>
          <w:szCs w:val="24"/>
        </w:rPr>
        <w:t>PROGRAM BİLGİLERİ</w:t>
      </w:r>
    </w:p>
    <w:bookmarkEnd w:id="0"/>
    <w:p w:rsidR="00C36F0B" w:rsidRDefault="007A2DE7">
      <w:pPr>
        <w:spacing w:before="120"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Fakültemizin </w:t>
      </w:r>
      <w:proofErr w:type="gramStart"/>
      <w:r>
        <w:rPr>
          <w:rFonts w:ascii="Times New Roman" w:eastAsia="Times New Roman" w:hAnsi="Times New Roman" w:cs="Times New Roman"/>
          <w:sz w:val="24"/>
          <w:szCs w:val="24"/>
        </w:rPr>
        <w:t>misyonu</w:t>
      </w:r>
      <w:proofErr w:type="gramEnd"/>
      <w:r>
        <w:rPr>
          <w:rFonts w:ascii="Times New Roman" w:eastAsia="Times New Roman" w:hAnsi="Times New Roman" w:cs="Times New Roman"/>
          <w:sz w:val="24"/>
          <w:szCs w:val="24"/>
        </w:rPr>
        <w:t xml:space="preserve">, çağın gerektirdiği mesleki bilgi ve becerilere sahip, gelişime açık, eleştirel düşünebilen ve insanlarla sağlıklı ve güçlü iletişim kurabilen öğretmenler yetiştirmektir.  </w:t>
      </w:r>
      <w:proofErr w:type="gramStart"/>
      <w:r>
        <w:rPr>
          <w:rFonts w:ascii="Times New Roman" w:eastAsia="Times New Roman" w:hAnsi="Times New Roman" w:cs="Times New Roman"/>
          <w:sz w:val="24"/>
          <w:szCs w:val="24"/>
        </w:rPr>
        <w:t xml:space="preserve">Vizyonu ise, güncel ve etkili eğitim-öğretim yaklaşımlarını takip eden ve uygulayan, güçlü ve etkin fakülte-okul işbirlikleriyle </w:t>
      </w:r>
      <w:proofErr w:type="spellStart"/>
      <w:r>
        <w:rPr>
          <w:rFonts w:ascii="Times New Roman" w:eastAsia="Times New Roman" w:hAnsi="Times New Roman" w:cs="Times New Roman"/>
          <w:sz w:val="24"/>
          <w:szCs w:val="24"/>
        </w:rPr>
        <w:t>hizmetiçi</w:t>
      </w:r>
      <w:proofErr w:type="spellEnd"/>
      <w:r>
        <w:rPr>
          <w:rFonts w:ascii="Times New Roman" w:eastAsia="Times New Roman" w:hAnsi="Times New Roman" w:cs="Times New Roman"/>
          <w:sz w:val="24"/>
          <w:szCs w:val="24"/>
        </w:rPr>
        <w:t xml:space="preserve"> ve hizmet öncesi öğretmenlerin gelişimini destekleyen, öğretmen ve akademisyen yetiştirmede kalitenin artırılmasına önemli katkılar sağlayan, yaşam boyu öğrenmeyi alışkanlık haline getirmiş, yeniliklere açık, insanımızın aydınlık ve çağdaş yüzünü temsil eden öğretmenler yetiştiren bir fakülte olmaktır.</w:t>
      </w:r>
      <w:proofErr w:type="gramEnd"/>
    </w:p>
    <w:p w:rsidR="00C36F0B" w:rsidRDefault="007A2DE7">
      <w:pPr>
        <w:spacing w:before="120"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bağlamda programımızın amaçları irdelendiğinde; fakültemizin misyonu ile uyum içinde olduğu görülmektedir.  Yine fakültemizin vizyonu doğrultusunda programımızın hedefleri göz önünde bulundurulduğunda da gerek teorik gerekse okul deneyimi ve öğretmenlik uygulaması gibi uygulamalı derslerimizin vizyona hizmet ettiği görülmektedir.</w:t>
      </w:r>
    </w:p>
    <w:p w:rsidR="00C36F0B" w:rsidRDefault="007A2DE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Amaç: </w:t>
      </w:r>
      <w:r>
        <w:rPr>
          <w:rFonts w:ascii="Times New Roman" w:eastAsia="Times New Roman" w:hAnsi="Times New Roman" w:cs="Times New Roman"/>
          <w:sz w:val="24"/>
          <w:szCs w:val="24"/>
        </w:rPr>
        <w:t xml:space="preserve">Yeditepe Üniversitesi İngilizce Öğretmenliği lisans programı, dil eğitimine özgü alan bilgisi ve becerileri kazanmış, araştırarak ve sorgulayarak öğrenen, alandaki teknolojik ve pedagojik gelişmeleri yakından izleyen, kendini geliştirmeyi alışkanlık haline getirmiş ve bu alışkanlığı genç kuşaklara taşımayı amaç edinmiş İngilizce öğretmenleri yetiştirmeyi amaçlamaktadır.  İlgili amaçlar, programın ölçülebilir öğrenme çıktıları/program yeterlikleri olarak aşağıdaki şekilde ifade edilmiştir: </w:t>
      </w:r>
    </w:p>
    <w:p w:rsidR="00C36F0B" w:rsidRDefault="007A2DE7">
      <w:pPr>
        <w:numPr>
          <w:ilvl w:val="0"/>
          <w:numId w:val="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Teorik ve uygulamalı dilbilim kavramlarını ve </w:t>
      </w:r>
      <w:proofErr w:type="spellStart"/>
      <w:r>
        <w:rPr>
          <w:rFonts w:ascii="Times New Roman" w:eastAsia="Times New Roman" w:hAnsi="Times New Roman" w:cs="Times New Roman"/>
          <w:color w:val="000000"/>
          <w:sz w:val="24"/>
          <w:szCs w:val="24"/>
        </w:rPr>
        <w:t>İngilizce’nin</w:t>
      </w:r>
      <w:proofErr w:type="spellEnd"/>
      <w:r>
        <w:rPr>
          <w:rFonts w:ascii="Times New Roman" w:eastAsia="Times New Roman" w:hAnsi="Times New Roman" w:cs="Times New Roman"/>
          <w:color w:val="000000"/>
          <w:sz w:val="24"/>
          <w:szCs w:val="24"/>
        </w:rPr>
        <w:t xml:space="preserve"> yapısal özelliklerini bilmek ve bu bilgilerin ışığında dil öğretim yöntem ve tekniklerini kullanmak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İngilizce’nin</w:t>
      </w:r>
      <w:proofErr w:type="spellEnd"/>
      <w:r>
        <w:rPr>
          <w:rFonts w:ascii="Times New Roman" w:eastAsia="Times New Roman" w:hAnsi="Times New Roman" w:cs="Times New Roman"/>
          <w:color w:val="000000"/>
          <w:sz w:val="24"/>
          <w:szCs w:val="24"/>
        </w:rPr>
        <w:t xml:space="preserve"> yabancı dil olarak öğrenimi ve öğretimi konusunda temel kuramlar, ilkeler ve yöntemleri bilip değerlendirerek uygun dil öğretim yöntem ve tekniklerini kullanmak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Öğrencilerinin gereksinimlerini, dil düzeylerini, yaşlarını, </w:t>
      </w:r>
      <w:proofErr w:type="gramStart"/>
      <w:r>
        <w:rPr>
          <w:rFonts w:ascii="Times New Roman" w:eastAsia="Times New Roman" w:hAnsi="Times New Roman" w:cs="Times New Roman"/>
          <w:color w:val="000000"/>
          <w:sz w:val="24"/>
          <w:szCs w:val="24"/>
        </w:rPr>
        <w:t>zeka</w:t>
      </w:r>
      <w:proofErr w:type="gramEnd"/>
      <w:r>
        <w:rPr>
          <w:rFonts w:ascii="Times New Roman" w:eastAsia="Times New Roman" w:hAnsi="Times New Roman" w:cs="Times New Roman"/>
          <w:color w:val="000000"/>
          <w:sz w:val="24"/>
          <w:szCs w:val="24"/>
        </w:rPr>
        <w:t xml:space="preserve"> türlerini ve öğrenme </w:t>
      </w:r>
      <w:proofErr w:type="gramStart"/>
      <w:r>
        <w:rPr>
          <w:rFonts w:ascii="Times New Roman" w:eastAsia="Times New Roman" w:hAnsi="Times New Roman" w:cs="Times New Roman"/>
          <w:color w:val="000000"/>
          <w:sz w:val="24"/>
          <w:szCs w:val="24"/>
        </w:rPr>
        <w:t>stillerini</w:t>
      </w:r>
      <w:proofErr w:type="gramEnd"/>
      <w:r>
        <w:rPr>
          <w:rFonts w:ascii="Times New Roman" w:eastAsia="Times New Roman" w:hAnsi="Times New Roman" w:cs="Times New Roman"/>
          <w:color w:val="000000"/>
          <w:sz w:val="24"/>
          <w:szCs w:val="24"/>
        </w:rPr>
        <w:t xml:space="preserve"> dikkate alarak uygun öğretim teknolojisi kullanarak ders planı hazırlamak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 ders materyallerinin öğrencilerin seviye, yaş ve dil düzeyine ve ilgi ve öğrenme özelliklerine göre etkililiğini değerlendirerek seçebilmek, kullanabilmek ve bu doğrultuda özgün materyaller geliştirmek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İngilizce okuma, konuşma, yazma ve dinleme becerilerini geliştirmek, bilgiye ulaşma, yazılı ve sözlü olarak paylaşma ve üretme düzeyinde kullanabilmek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Bilgi ve İletişim Teknolojilerini İngilizce eğitim ve öğretiminde etkin bir biçimde kullanabilmek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kısa öykü, şiir, roman gibi edebi metinleri tanımak ve dil becerilerinin öğretiminde kullanabilmek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öğretimine ilişkin ölçme ve değerlendirme araç ve yöntemlerini kullanışlılık, geçerlilik ve güvenirlik açılarından değerlendirerek kullanabilmek</w:t>
      </w:r>
    </w:p>
    <w:p w:rsidR="00C36F0B" w:rsidRDefault="007A2DE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Kendini akademik ve kişisel bağlamda geliştirebilmek için gerekli olan bilimsel araştırma yöntemlerini bilmek ve bunları okul ortamında uygulama becerisine sahip olmak</w:t>
      </w:r>
    </w:p>
    <w:p w:rsidR="00C36F0B" w:rsidRDefault="007A2DE7">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 adayının kazanmış olduğu alan ve pedagojik bilgi ve becerilerini okul ortamında deneyimlemek ve mesleğinin gerektirdiği kültürel ve ahlaki sorumlulukları kavrayarak uygulamak</w:t>
      </w:r>
    </w:p>
    <w:p w:rsidR="00C36F0B" w:rsidRDefault="007A2DE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Hedef:</w:t>
      </w:r>
      <w:r>
        <w:rPr>
          <w:rFonts w:ascii="Times New Roman" w:eastAsia="Times New Roman" w:hAnsi="Times New Roman" w:cs="Times New Roman"/>
          <w:sz w:val="24"/>
          <w:szCs w:val="24"/>
        </w:rPr>
        <w:t xml:space="preserve"> İngilizce Öğretmenliği lisans programı, araştırarak ve sorgulayarak edinmiş olduğu İngilizce dil eğitimine özgü alan bilgi, beceri ve mesleki gelişim farkındalığı gelişmiş; kültürel değerlerden ödün vermeden dünyaya açık, geleceği kurgulayabilen nitelikte öğretmenler yetiştirmeyi hedeflemektedir.  İlgili uzak hedefler aşağıdaki şekilde ifade edilmiştir:</w:t>
      </w:r>
    </w:p>
    <w:p w:rsidR="007275C6" w:rsidRPr="007275C6" w:rsidRDefault="007275C6" w:rsidP="007275C6">
      <w:pPr>
        <w:pStyle w:val="ListParagraph"/>
        <w:numPr>
          <w:ilvl w:val="0"/>
          <w:numId w:val="4"/>
        </w:numPr>
        <w:spacing w:before="0" w:after="160"/>
        <w:outlineLvl w:val="9"/>
      </w:pPr>
      <w:r w:rsidRPr="007275C6">
        <w:t>2020-2021 akademik yılından itibaren IB Öğretmenliği Sertifika Programı çerçevesinde, ulusal olduğu kadar uluslararası alanda da tercih edilen mezunlar yetiştirmek;</w:t>
      </w:r>
    </w:p>
    <w:p w:rsidR="007275C6" w:rsidRPr="007275C6" w:rsidRDefault="007275C6" w:rsidP="007275C6">
      <w:pPr>
        <w:pStyle w:val="ListParagraph"/>
        <w:numPr>
          <w:ilvl w:val="0"/>
          <w:numId w:val="4"/>
        </w:numPr>
        <w:spacing w:before="0" w:after="160"/>
        <w:outlineLvl w:val="9"/>
      </w:pPr>
      <w:r w:rsidRPr="007275C6">
        <w:t>2019-2020 akademik yılı 2. döneminden itibaren yürürlüğe konulacak olan Yabancılara Türkçe Öğretmenliği Sertifikası Programı çerçevesinde Türkçe’nin yabancı dil olarak öğretilmesine katkıda bulunmak;</w:t>
      </w:r>
    </w:p>
    <w:p w:rsidR="007275C6" w:rsidRPr="007275C6" w:rsidRDefault="007275C6" w:rsidP="007275C6">
      <w:pPr>
        <w:pStyle w:val="ListParagraph"/>
        <w:numPr>
          <w:ilvl w:val="0"/>
          <w:numId w:val="4"/>
        </w:numPr>
        <w:spacing w:before="0" w:after="160"/>
        <w:outlineLvl w:val="9"/>
      </w:pPr>
      <w:r w:rsidRPr="007275C6">
        <w:t xml:space="preserve">İngilizce Öğretmenliği bölümü öğrencilerine, 2019 -2020 Güz döneminde öğrenci almaya başlayan Özel Eğitim Öğretmenliği Programı ile çift </w:t>
      </w:r>
      <w:proofErr w:type="spellStart"/>
      <w:r w:rsidRPr="007275C6">
        <w:t>anadal</w:t>
      </w:r>
      <w:proofErr w:type="spellEnd"/>
      <w:r w:rsidRPr="007275C6">
        <w:t xml:space="preserve"> yaptırarak özel eğitime ihtiyacı olan çocuklara İngilizce öğretilebilmesini sağlamak;</w:t>
      </w:r>
    </w:p>
    <w:p w:rsidR="007275C6" w:rsidRPr="007275C6" w:rsidRDefault="007275C6" w:rsidP="007275C6">
      <w:pPr>
        <w:pStyle w:val="ListParagraph"/>
        <w:numPr>
          <w:ilvl w:val="0"/>
          <w:numId w:val="4"/>
        </w:numPr>
        <w:spacing w:before="0" w:after="160"/>
        <w:outlineLvl w:val="9"/>
      </w:pPr>
      <w:r w:rsidRPr="007275C6">
        <w:t xml:space="preserve">Öğrencilerimizi bilgisayar ve teknoloji </w:t>
      </w:r>
      <w:r w:rsidR="00685C7B" w:rsidRPr="007275C6">
        <w:t>okuryazarlığı</w:t>
      </w:r>
      <w:r w:rsidRPr="007275C6">
        <w:t xml:space="preserve"> becerileri daha da gelişmiş, her türlü teknolojiden yararlanıp etkili ders materyalleri hazırlayabilen öğretmen adayları olarak yetiştirmek;</w:t>
      </w:r>
    </w:p>
    <w:p w:rsidR="007275C6" w:rsidRPr="007275C6" w:rsidRDefault="007275C6" w:rsidP="007275C6">
      <w:pPr>
        <w:pStyle w:val="ListParagraph"/>
        <w:numPr>
          <w:ilvl w:val="0"/>
          <w:numId w:val="4"/>
        </w:numPr>
        <w:spacing w:before="0" w:after="160"/>
        <w:outlineLvl w:val="9"/>
      </w:pPr>
      <w:r w:rsidRPr="007275C6">
        <w:t>Anlaşma yapmış olduğumuz çevre okullarına daha kapsamlı hizmet-içi eğitim vermek;</w:t>
      </w:r>
    </w:p>
    <w:p w:rsidR="007275C6" w:rsidRPr="007275C6" w:rsidRDefault="007275C6" w:rsidP="007275C6">
      <w:pPr>
        <w:pStyle w:val="ListParagraph"/>
        <w:numPr>
          <w:ilvl w:val="0"/>
          <w:numId w:val="4"/>
        </w:numPr>
        <w:spacing w:before="0" w:after="160"/>
        <w:outlineLvl w:val="9"/>
      </w:pPr>
      <w:r w:rsidRPr="007275C6">
        <w:lastRenderedPageBreak/>
        <w:t xml:space="preserve">Öğretmenlik uygulaması dersi dışında da öğrencilerimizin, İSTEK okullarında sınıf-içi deneyim kazanmalarını sağlayacak derslerin sayılarını artırıp, öğretmen eğitimi programımızdaki uygulama </w:t>
      </w:r>
      <w:proofErr w:type="gramStart"/>
      <w:r w:rsidRPr="007275C6">
        <w:t>modülünü</w:t>
      </w:r>
      <w:proofErr w:type="gramEnd"/>
      <w:r w:rsidRPr="007275C6">
        <w:t xml:space="preserve"> daha da geliştirmek;</w:t>
      </w:r>
    </w:p>
    <w:p w:rsidR="007275C6" w:rsidRPr="007275C6" w:rsidRDefault="007275C6" w:rsidP="007275C6">
      <w:pPr>
        <w:pStyle w:val="ListParagraph"/>
        <w:numPr>
          <w:ilvl w:val="0"/>
          <w:numId w:val="4"/>
        </w:numPr>
        <w:spacing w:before="0" w:after="160"/>
        <w:outlineLvl w:val="9"/>
      </w:pPr>
      <w:r w:rsidRPr="007275C6">
        <w:t xml:space="preserve">Programımızdaki dil becerileri ve ölçme değerlendirme derslerinde öğrencilerden istenen eleştirel, yansıtıcı değerlendirme yazılarını her derse </w:t>
      </w:r>
      <w:proofErr w:type="gramStart"/>
      <w:r w:rsidRPr="007275C6">
        <w:t>entegre</w:t>
      </w:r>
      <w:proofErr w:type="gramEnd"/>
      <w:r w:rsidRPr="007275C6">
        <w:t xml:space="preserve"> etmek;</w:t>
      </w:r>
    </w:p>
    <w:p w:rsidR="007275C6" w:rsidRPr="007275C6" w:rsidRDefault="007275C6" w:rsidP="007275C6">
      <w:pPr>
        <w:pStyle w:val="ListParagraph"/>
        <w:numPr>
          <w:ilvl w:val="0"/>
          <w:numId w:val="4"/>
        </w:numPr>
        <w:spacing w:before="0" w:after="160"/>
        <w:outlineLvl w:val="9"/>
      </w:pPr>
      <w:r w:rsidRPr="007275C6">
        <w:t>İlk kez 2018-2019 akademik yılında öğrencilere uygulanmış olan program çıktıları anketini geliştirmek;</w:t>
      </w:r>
    </w:p>
    <w:p w:rsidR="007275C6" w:rsidRPr="007275C6" w:rsidRDefault="007275C6" w:rsidP="007275C6">
      <w:pPr>
        <w:pStyle w:val="ListParagraph"/>
        <w:numPr>
          <w:ilvl w:val="0"/>
          <w:numId w:val="4"/>
        </w:numPr>
        <w:spacing w:before="0" w:after="160"/>
        <w:outlineLvl w:val="9"/>
      </w:pPr>
      <w:r w:rsidRPr="007275C6">
        <w:t>Önümüzdeki yıllarda öğretim üyesi sayımızı artırarak mevcut öğretim üyelerimizin danışmanlık ve diğer iş yüklerini azaltıp, daha çok akademik çalışma yapmalarını sağlamak;</w:t>
      </w:r>
    </w:p>
    <w:p w:rsidR="007275C6" w:rsidRPr="007275C6" w:rsidRDefault="007275C6" w:rsidP="007275C6">
      <w:pPr>
        <w:pStyle w:val="ListParagraph"/>
        <w:numPr>
          <w:ilvl w:val="0"/>
          <w:numId w:val="4"/>
        </w:numPr>
        <w:spacing w:before="0" w:after="160"/>
        <w:outlineLvl w:val="9"/>
      </w:pPr>
      <w:proofErr w:type="gramStart"/>
      <w:r w:rsidRPr="007275C6">
        <w:t>Mezunlarımızla ilişkilerimizi daha da güçlendirmek.</w:t>
      </w:r>
      <w:proofErr w:type="gramEnd"/>
    </w:p>
    <w:p w:rsidR="00C36F0B" w:rsidRDefault="007A2DE7">
      <w:pPr>
        <w:spacing w:after="160" w:line="259" w:lineRule="auto"/>
        <w:jc w:val="both"/>
        <w:rPr>
          <w:rFonts w:ascii="Times New Roman" w:eastAsia="Times New Roman" w:hAnsi="Times New Roman" w:cs="Times New Roman"/>
          <w:sz w:val="24"/>
          <w:szCs w:val="24"/>
        </w:rPr>
      </w:pPr>
      <w:r>
        <w:br w:type="page"/>
      </w:r>
    </w:p>
    <w:tbl>
      <w:tblPr>
        <w:tblStyle w:val="a"/>
        <w:tblW w:w="991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555"/>
        <w:gridCol w:w="4721"/>
        <w:gridCol w:w="3642"/>
      </w:tblGrid>
      <w:tr w:rsidR="00C36F0B" w:rsidTr="007E568B">
        <w:trPr>
          <w:trHeight w:val="220"/>
        </w:trPr>
        <w:tc>
          <w:tcPr>
            <w:tcW w:w="1555" w:type="dxa"/>
            <w:shd w:val="clear" w:color="auto" w:fill="FFFFFF"/>
            <w:tcMar>
              <w:top w:w="15" w:type="dxa"/>
              <w:left w:w="50" w:type="dxa"/>
              <w:bottom w:w="15" w:type="dxa"/>
              <w:right w:w="15" w:type="dxa"/>
            </w:tcMar>
          </w:tcPr>
          <w:p w:rsidR="00C36F0B" w:rsidRDefault="007A2DE7" w:rsidP="00AC3AA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Yöntem </w:t>
            </w:r>
            <w:r w:rsidR="0097122C">
              <w:rPr>
                <w:rFonts w:ascii="Times New Roman" w:eastAsia="Times New Roman" w:hAnsi="Times New Roman" w:cs="Times New Roman"/>
                <w:b/>
                <w:sz w:val="24"/>
                <w:szCs w:val="24"/>
              </w:rPr>
              <w:t>ve</w:t>
            </w:r>
            <w:r w:rsidR="00AC3A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Teknikler</w:t>
            </w:r>
          </w:p>
        </w:tc>
        <w:tc>
          <w:tcPr>
            <w:tcW w:w="4721" w:type="dxa"/>
            <w:shd w:val="clear" w:color="auto" w:fill="FFFFFF"/>
            <w:tcMar>
              <w:top w:w="15" w:type="dxa"/>
              <w:left w:w="50" w:type="dxa"/>
              <w:bottom w:w="15" w:type="dxa"/>
              <w:right w:w="15" w:type="dxa"/>
            </w:tcMar>
            <w:vAlign w:val="center"/>
          </w:tcPr>
          <w:p w:rsidR="00C36F0B" w:rsidRDefault="007A2DE7" w:rsidP="00AC3A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Geliştirilmesi amaçlanan özellikler</w:t>
            </w:r>
          </w:p>
        </w:tc>
        <w:tc>
          <w:tcPr>
            <w:tcW w:w="3642" w:type="dxa"/>
            <w:shd w:val="clear" w:color="auto" w:fill="FFFFFF"/>
            <w:tcMar>
              <w:top w:w="15" w:type="dxa"/>
              <w:left w:w="50" w:type="dxa"/>
              <w:bottom w:w="15" w:type="dxa"/>
              <w:right w:w="15" w:type="dxa"/>
            </w:tcMar>
            <w:vAlign w:val="center"/>
          </w:tcPr>
          <w:p w:rsidR="00C36F0B" w:rsidRDefault="007A2DE7" w:rsidP="00AC3A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Öğretim Ortamına İlişkin Özellikler</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Anlatım</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derslik teknolojileri, çoklu ortam araçları, projektör, bilgisayar, tepegöz</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 Yapma</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derslik teknolojileri, çoklu ortam araçları, projektör, bilgisayar, tepegöz</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Gösterim</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 Çözme</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derslik teknolojileri, özel donanım</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Örnek olay</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Benzetim</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Seminer </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w:t>
            </w:r>
            <w:r>
              <w:rPr>
                <w:rFonts w:ascii="Times New Roman" w:eastAsia="Times New Roman" w:hAnsi="Times New Roman" w:cs="Times New Roman"/>
                <w:sz w:val="24"/>
                <w:szCs w:val="24"/>
              </w:rPr>
              <w:lastRenderedPageBreak/>
              <w:t xml:space="preserve">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Standart derslik teknolojileri, çoklu ortam araçları, projektör, bilgisayar, tepegöz</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 çalışması</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derslik teknolojileri, çoklu ortam araçları, projektör, bilgisayar, tepegöz</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Bireysel çalışma</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Gözleme </w:t>
            </w:r>
            <w:proofErr w:type="gramStart"/>
            <w:r>
              <w:rPr>
                <w:rFonts w:ascii="Times New Roman" w:eastAsia="Times New Roman" w:hAnsi="Times New Roman" w:cs="Times New Roman"/>
                <w:sz w:val="24"/>
                <w:szCs w:val="24"/>
              </w:rPr>
              <w:t>imkan</w:t>
            </w:r>
            <w:proofErr w:type="gramEnd"/>
            <w:r>
              <w:rPr>
                <w:rFonts w:ascii="Times New Roman" w:eastAsia="Times New Roman" w:hAnsi="Times New Roman" w:cs="Times New Roman"/>
                <w:sz w:val="24"/>
                <w:szCs w:val="24"/>
              </w:rPr>
              <w:t xml:space="preserve"> verecek gerçek ya da sanal ortam</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Panel</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Gözleme </w:t>
            </w:r>
            <w:proofErr w:type="gramStart"/>
            <w:r>
              <w:rPr>
                <w:rFonts w:ascii="Times New Roman" w:eastAsia="Times New Roman" w:hAnsi="Times New Roman" w:cs="Times New Roman"/>
                <w:sz w:val="24"/>
                <w:szCs w:val="24"/>
              </w:rPr>
              <w:t>imkan</w:t>
            </w:r>
            <w:proofErr w:type="gramEnd"/>
            <w:r>
              <w:rPr>
                <w:rFonts w:ascii="Times New Roman" w:eastAsia="Times New Roman" w:hAnsi="Times New Roman" w:cs="Times New Roman"/>
                <w:sz w:val="24"/>
                <w:szCs w:val="24"/>
              </w:rPr>
              <w:t xml:space="preserve"> verecek gerçek ya da sanal ortam</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Konuk Konuşmacı</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derslik teknolojileri, çoklu ortam araçları, projektör, bilgisayar, tepegöz, özel donanım</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Beyin Fırtınası</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veri tabanları, kütüphane veri tabanları, e-posta, çevrimiçi sohbet,</w:t>
            </w:r>
            <w:r>
              <w:rPr>
                <w:rFonts w:ascii="Times New Roman" w:eastAsia="Times New Roman" w:hAnsi="Times New Roman" w:cs="Times New Roman"/>
                <w:sz w:val="24"/>
                <w:szCs w:val="24"/>
              </w:rPr>
              <w:br/>
              <w:t>Web tabanlı tartışma forumları</w:t>
            </w:r>
          </w:p>
        </w:tc>
      </w:tr>
      <w:tr w:rsidR="00C36F0B" w:rsidTr="007E568B">
        <w:tc>
          <w:tcPr>
            <w:tcW w:w="1555" w:type="dxa"/>
            <w:shd w:val="clear" w:color="auto" w:fill="FFFFFF"/>
            <w:tcMar>
              <w:top w:w="15" w:type="dxa"/>
              <w:left w:w="50" w:type="dxa"/>
              <w:bottom w:w="15" w:type="dxa"/>
              <w:right w:w="15" w:type="dxa"/>
            </w:tcMar>
          </w:tcPr>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Alıştırma</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6F0B" w:rsidTr="007E568B">
        <w:tc>
          <w:tcPr>
            <w:tcW w:w="1555" w:type="dxa"/>
            <w:shd w:val="clear" w:color="auto" w:fill="FFFFFF"/>
            <w:tcMar>
              <w:top w:w="15" w:type="dxa"/>
              <w:left w:w="50" w:type="dxa"/>
              <w:bottom w:w="15" w:type="dxa"/>
              <w:right w:w="15" w:type="dxa"/>
            </w:tcMar>
          </w:tcPr>
          <w:p w:rsidR="00C36F0B" w:rsidRDefault="007A2D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Gözlem</w:t>
            </w:r>
          </w:p>
        </w:tc>
        <w:tc>
          <w:tcPr>
            <w:tcW w:w="4721"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 anlamlandırma ve yorum yapma gibi bilişsel özellikler ile, farkındalık geliştirme ve değer sistemi oluşturma gibi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alana </w:t>
            </w:r>
            <w:r>
              <w:rPr>
                <w:rFonts w:ascii="Times New Roman" w:eastAsia="Times New Roman" w:hAnsi="Times New Roman" w:cs="Times New Roman"/>
                <w:sz w:val="24"/>
                <w:szCs w:val="24"/>
              </w:rPr>
              <w:lastRenderedPageBreak/>
              <w:t xml:space="preserve">özgü yeterlikler; taklit etme ve beceri geliştirme gibi </w:t>
            </w:r>
            <w:proofErr w:type="spellStart"/>
            <w:r>
              <w:rPr>
                <w:rFonts w:ascii="Times New Roman" w:eastAsia="Times New Roman" w:hAnsi="Times New Roman" w:cs="Times New Roman"/>
                <w:sz w:val="24"/>
                <w:szCs w:val="24"/>
              </w:rPr>
              <w:t>psikomotor</w:t>
            </w:r>
            <w:proofErr w:type="spellEnd"/>
            <w:r>
              <w:rPr>
                <w:rFonts w:ascii="Times New Roman" w:eastAsia="Times New Roman" w:hAnsi="Times New Roman" w:cs="Times New Roman"/>
                <w:sz w:val="24"/>
                <w:szCs w:val="24"/>
              </w:rPr>
              <w:t xml:space="preserve"> özellikler.</w:t>
            </w:r>
          </w:p>
        </w:tc>
        <w:tc>
          <w:tcPr>
            <w:tcW w:w="3642" w:type="dxa"/>
            <w:shd w:val="clear" w:color="auto" w:fill="FFFFFF"/>
            <w:tcMar>
              <w:top w:w="15" w:type="dxa"/>
              <w:left w:w="50" w:type="dxa"/>
              <w:bottom w:w="15" w:type="dxa"/>
              <w:right w:w="15" w:type="dxa"/>
            </w:tcMar>
            <w:vAlign w:val="center"/>
          </w:tcPr>
          <w:p w:rsidR="00C36F0B" w:rsidRDefault="007A2D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İnternet veri tabanları, kütüphane veri tabanları, e-posta</w:t>
            </w:r>
          </w:p>
        </w:tc>
      </w:tr>
    </w:tbl>
    <w:p w:rsidR="00C36F0B" w:rsidRDefault="00C36F0B">
      <w:pPr>
        <w:jc w:val="both"/>
        <w:rPr>
          <w:rFonts w:ascii="Times New Roman" w:eastAsia="Times New Roman" w:hAnsi="Times New Roman" w:cs="Times New Roman"/>
          <w:sz w:val="24"/>
          <w:szCs w:val="24"/>
        </w:rPr>
      </w:pPr>
    </w:p>
    <w:p w:rsidR="00C36F0B" w:rsidRDefault="007A2DE7" w:rsidP="004C0401">
      <w:pPr>
        <w:spacing w:after="160" w:line="259" w:lineRule="auto"/>
        <w:jc w:val="both"/>
        <w:rPr>
          <w:rFonts w:ascii="Times New Roman" w:eastAsia="Times New Roman" w:hAnsi="Times New Roman" w:cs="Times New Roman"/>
          <w:b/>
          <w:sz w:val="24"/>
          <w:szCs w:val="24"/>
          <w:highlight w:val="white"/>
        </w:rPr>
      </w:pPr>
      <w:r>
        <w:br w:type="page"/>
      </w:r>
    </w:p>
    <w:p w:rsidR="00C36F0B" w:rsidRDefault="007A2DE7">
      <w:pPr>
        <w:spacing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İNGİLİZCE ÖĞRETMENLİĞİ PROGRAMI PROGRAM ÇIKTILARININ DERS ÇIKTILARI İLE İLİŞKİSİ</w:t>
      </w:r>
    </w:p>
    <w:p w:rsidR="004C0401" w:rsidRDefault="004C0401">
      <w:pPr>
        <w:spacing w:after="0"/>
        <w:jc w:val="center"/>
        <w:rPr>
          <w:rFonts w:ascii="Times New Roman" w:eastAsia="Times New Roman" w:hAnsi="Times New Roman" w:cs="Times New Roman"/>
          <w:b/>
          <w:sz w:val="24"/>
          <w:szCs w:val="24"/>
          <w:highlight w:val="white"/>
        </w:rPr>
      </w:pPr>
    </w:p>
    <w:tbl>
      <w:tblPr>
        <w:tblStyle w:val="a0"/>
        <w:tblW w:w="981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705"/>
        <w:gridCol w:w="2921"/>
        <w:gridCol w:w="504"/>
        <w:gridCol w:w="505"/>
        <w:gridCol w:w="505"/>
        <w:gridCol w:w="505"/>
        <w:gridCol w:w="505"/>
        <w:gridCol w:w="505"/>
        <w:gridCol w:w="505"/>
        <w:gridCol w:w="505"/>
        <w:gridCol w:w="505"/>
        <w:gridCol w:w="641"/>
      </w:tblGrid>
      <w:tr w:rsidR="00C36F0B" w:rsidTr="00BA06A5">
        <w:trPr>
          <w:trHeight w:val="580"/>
        </w:trPr>
        <w:tc>
          <w:tcPr>
            <w:tcW w:w="1705" w:type="dxa"/>
            <w:shd w:val="clear" w:color="auto" w:fill="auto"/>
            <w:tcMar>
              <w:top w:w="15" w:type="dxa"/>
              <w:left w:w="50" w:type="dxa"/>
              <w:bottom w:w="15" w:type="dxa"/>
              <w:right w:w="15" w:type="dxa"/>
            </w:tcMar>
            <w:vAlign w:val="center"/>
          </w:tcPr>
          <w:p w:rsidR="00C36F0B" w:rsidRDefault="007A2DE7" w:rsidP="002219E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w:t>
            </w:r>
            <w:proofErr w:type="spellStart"/>
            <w:r>
              <w:rPr>
                <w:rFonts w:ascii="Times New Roman" w:eastAsia="Times New Roman" w:hAnsi="Times New Roman" w:cs="Times New Roman"/>
                <w:b/>
                <w:color w:val="000000"/>
                <w:sz w:val="24"/>
                <w:szCs w:val="24"/>
              </w:rPr>
              <w:t>Code</w:t>
            </w:r>
            <w:proofErr w:type="spellEnd"/>
          </w:p>
        </w:tc>
        <w:tc>
          <w:tcPr>
            <w:tcW w:w="2921" w:type="dxa"/>
            <w:shd w:val="clear" w:color="auto" w:fill="auto"/>
            <w:vAlign w:val="bottom"/>
          </w:tcPr>
          <w:p w:rsidR="00C36F0B" w:rsidRDefault="002219E7" w:rsidP="002219E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w:t>
            </w:r>
            <w:proofErr w:type="spellStart"/>
            <w:r>
              <w:rPr>
                <w:rFonts w:ascii="Times New Roman" w:eastAsia="Times New Roman" w:hAnsi="Times New Roman" w:cs="Times New Roman"/>
                <w:b/>
                <w:color w:val="000000"/>
                <w:sz w:val="24"/>
                <w:szCs w:val="24"/>
              </w:rPr>
              <w:t>Title</w:t>
            </w:r>
            <w:proofErr w:type="spellEnd"/>
          </w:p>
        </w:tc>
        <w:tc>
          <w:tcPr>
            <w:tcW w:w="504"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PÇ1</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PÇ2</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PÇ3</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PÇ4</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PÇ5</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PÇ6</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PÇ7</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PÇ8</w:t>
            </w:r>
          </w:p>
        </w:tc>
        <w:tc>
          <w:tcPr>
            <w:tcW w:w="505"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PÇ9</w:t>
            </w:r>
          </w:p>
        </w:tc>
        <w:tc>
          <w:tcPr>
            <w:tcW w:w="641" w:type="dxa"/>
            <w:shd w:val="clear" w:color="auto" w:fill="auto"/>
            <w:tcMar>
              <w:top w:w="15" w:type="dxa"/>
              <w:left w:w="50" w:type="dxa"/>
              <w:bottom w:w="15" w:type="dxa"/>
              <w:right w:w="15" w:type="dxa"/>
            </w:tcMar>
            <w:vAlign w:val="bottom"/>
          </w:tcPr>
          <w:p w:rsidR="00C36F0B" w:rsidRDefault="007A2DE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PÇ10</w:t>
            </w:r>
          </w:p>
        </w:tc>
      </w:tr>
      <w:tr w:rsidR="00C36F0B" w:rsidTr="00BA06A5">
        <w:trPr>
          <w:trHeight w:val="354"/>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113</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Okuma Becerileri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392"/>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115</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Yazma Becerileri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01"/>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117</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 xml:space="preserve">Dinleme ve </w:t>
            </w:r>
            <w:proofErr w:type="spellStart"/>
            <w:r>
              <w:rPr>
                <w:rFonts w:ascii="Cambria" w:eastAsia="Cambria" w:hAnsi="Cambria" w:cs="Cambria"/>
                <w:sz w:val="18"/>
                <w:szCs w:val="18"/>
              </w:rPr>
              <w:t>Sesletim</w:t>
            </w:r>
            <w:proofErr w:type="spellEnd"/>
            <w:r>
              <w:rPr>
                <w:rFonts w:ascii="Cambria" w:eastAsia="Cambria" w:hAnsi="Cambria" w:cs="Cambria"/>
                <w:sz w:val="18"/>
                <w:szCs w:val="18"/>
              </w:rPr>
              <w:t xml:space="preserve">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25"/>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119</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Sözlü İletişim Becerileri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50"/>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111</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İngilizcenin Yapısı</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36F0B" w:rsidTr="00BA06A5">
        <w:trPr>
          <w:trHeight w:val="474"/>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114</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Okuma Becerileri 2</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363"/>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116</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Yazma Becerileri 2</w:t>
            </w:r>
          </w:p>
        </w:tc>
        <w:tc>
          <w:tcPr>
            <w:tcW w:w="504"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36F0B" w:rsidTr="00BA06A5">
        <w:trPr>
          <w:trHeight w:val="238"/>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118</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 xml:space="preserve">Dinleme ve </w:t>
            </w:r>
            <w:proofErr w:type="spellStart"/>
            <w:r>
              <w:rPr>
                <w:rFonts w:ascii="Cambria" w:eastAsia="Cambria" w:hAnsi="Cambria" w:cs="Cambria"/>
                <w:sz w:val="18"/>
                <w:szCs w:val="18"/>
              </w:rPr>
              <w:t>Sesletim</w:t>
            </w:r>
            <w:proofErr w:type="spellEnd"/>
            <w:r>
              <w:rPr>
                <w:rFonts w:ascii="Cambria" w:eastAsia="Cambria" w:hAnsi="Cambria" w:cs="Cambria"/>
                <w:sz w:val="18"/>
                <w:szCs w:val="18"/>
              </w:rPr>
              <w:t xml:space="preserve"> 2</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36F0B" w:rsidTr="00BA06A5">
        <w:trPr>
          <w:trHeight w:val="403"/>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120</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Sözlü İletişim Becerileri 2</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363"/>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214</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Dilbilim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38"/>
        </w:trPr>
        <w:tc>
          <w:tcPr>
            <w:tcW w:w="1705"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EDEN 216</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Eleştirel Okuma ve Yazma</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75"/>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213</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İngilizce Öğretim Programları</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36F0B" w:rsidTr="00BA06A5">
        <w:trPr>
          <w:trHeight w:val="487"/>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215</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Dilbilim 2</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36F0B" w:rsidTr="00BA06A5">
        <w:trPr>
          <w:trHeight w:val="214"/>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217</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Dil Edinimi</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363"/>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307</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Çocuklara Yabancı Dil Öğretimi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52"/>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310</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İngilizce Dil Becerilerinin Öğretimi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336"/>
        </w:trPr>
        <w:tc>
          <w:tcPr>
            <w:tcW w:w="1705" w:type="dxa"/>
            <w:tcMar>
              <w:top w:w="100" w:type="dxa"/>
              <w:left w:w="100" w:type="dxa"/>
              <w:bottom w:w="100" w:type="dxa"/>
              <w:right w:w="100" w:type="dxa"/>
            </w:tcMar>
          </w:tcPr>
          <w:p w:rsidR="00C36F0B" w:rsidRDefault="007A2DE7" w:rsidP="00DD2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EDEN 313</w:t>
            </w:r>
          </w:p>
        </w:tc>
        <w:tc>
          <w:tcPr>
            <w:tcW w:w="2921" w:type="dxa"/>
            <w:tcMar>
              <w:top w:w="100" w:type="dxa"/>
              <w:left w:w="100" w:type="dxa"/>
              <w:bottom w:w="100" w:type="dxa"/>
              <w:right w:w="100" w:type="dxa"/>
            </w:tcMar>
          </w:tcPr>
          <w:p w:rsidR="00C36F0B" w:rsidRDefault="007A2DE7" w:rsidP="00DD29ED">
            <w:pPr>
              <w:spacing w:line="240" w:lineRule="auto"/>
              <w:jc w:val="center"/>
              <w:rPr>
                <w:rFonts w:ascii="Cambria" w:eastAsia="Cambria" w:hAnsi="Cambria" w:cs="Cambria"/>
                <w:sz w:val="18"/>
                <w:szCs w:val="18"/>
              </w:rPr>
            </w:pPr>
            <w:r>
              <w:rPr>
                <w:rFonts w:ascii="Cambria" w:eastAsia="Cambria" w:hAnsi="Cambria" w:cs="Cambria"/>
                <w:sz w:val="18"/>
                <w:szCs w:val="18"/>
              </w:rPr>
              <w:t>Dil ve Edebiyat Öğretimi 1</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r>
      <w:tr w:rsidR="00C36F0B" w:rsidTr="00BA06A5">
        <w:trPr>
          <w:trHeight w:val="488"/>
        </w:trPr>
        <w:tc>
          <w:tcPr>
            <w:tcW w:w="1705" w:type="dxa"/>
            <w:tcMar>
              <w:top w:w="100" w:type="dxa"/>
              <w:left w:w="100" w:type="dxa"/>
              <w:bottom w:w="100" w:type="dxa"/>
              <w:right w:w="100" w:type="dxa"/>
            </w:tcMar>
          </w:tcPr>
          <w:p w:rsidR="00C36F0B" w:rsidRDefault="007A2DE7"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309</w:t>
            </w:r>
          </w:p>
        </w:tc>
        <w:tc>
          <w:tcPr>
            <w:tcW w:w="2921" w:type="dxa"/>
            <w:tcMar>
              <w:top w:w="100" w:type="dxa"/>
              <w:left w:w="100" w:type="dxa"/>
              <w:bottom w:w="100" w:type="dxa"/>
              <w:right w:w="100" w:type="dxa"/>
            </w:tcMar>
          </w:tcPr>
          <w:p w:rsidR="00C36F0B" w:rsidRDefault="007A2DE7" w:rsidP="00DD29ED">
            <w:pPr>
              <w:spacing w:line="240" w:lineRule="auto"/>
              <w:ind w:right="100"/>
              <w:jc w:val="center"/>
              <w:rPr>
                <w:rFonts w:ascii="Cambria" w:eastAsia="Cambria" w:hAnsi="Cambria" w:cs="Cambria"/>
                <w:sz w:val="18"/>
                <w:szCs w:val="18"/>
              </w:rPr>
            </w:pPr>
            <w:r>
              <w:rPr>
                <w:rFonts w:ascii="Cambria" w:eastAsia="Cambria" w:hAnsi="Cambria" w:cs="Cambria"/>
                <w:sz w:val="18"/>
                <w:szCs w:val="18"/>
              </w:rPr>
              <w:t>Çocuklara Yabancı Dil Öğretimi 2</w:t>
            </w:r>
          </w:p>
        </w:tc>
        <w:tc>
          <w:tcPr>
            <w:tcW w:w="504"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Default="007A2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C0401" w:rsidTr="00BA06A5">
        <w:trPr>
          <w:trHeight w:val="488"/>
        </w:trPr>
        <w:tc>
          <w:tcPr>
            <w:tcW w:w="1705" w:type="dxa"/>
            <w:tcMar>
              <w:top w:w="100" w:type="dxa"/>
              <w:left w:w="100" w:type="dxa"/>
              <w:bottom w:w="100" w:type="dxa"/>
              <w:right w:w="100" w:type="dxa"/>
            </w:tcMar>
          </w:tcPr>
          <w:p w:rsidR="004C0401" w:rsidRDefault="004C0401"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311</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rPr>
            </w:pPr>
            <w:r w:rsidRPr="004C0401">
              <w:rPr>
                <w:rFonts w:ascii="Cambria" w:eastAsia="Cambria" w:hAnsi="Cambria" w:cs="Cambria"/>
                <w:bCs/>
                <w:sz w:val="18"/>
                <w:szCs w:val="18"/>
                <w:highlight w:val="white"/>
              </w:rPr>
              <w:t>İngilizce Dil Becerilerinin Öğretimi 2</w:t>
            </w:r>
          </w:p>
        </w:tc>
        <w:tc>
          <w:tcPr>
            <w:tcW w:w="504"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r>
      <w:tr w:rsidR="004C0401" w:rsidTr="00BA06A5">
        <w:trPr>
          <w:trHeight w:val="488"/>
        </w:trPr>
        <w:tc>
          <w:tcPr>
            <w:tcW w:w="1705" w:type="dxa"/>
            <w:tcMar>
              <w:top w:w="100" w:type="dxa"/>
              <w:left w:w="100" w:type="dxa"/>
              <w:bottom w:w="100" w:type="dxa"/>
              <w:right w:w="100" w:type="dxa"/>
            </w:tcMar>
          </w:tcPr>
          <w:p w:rsidR="004C0401" w:rsidRDefault="004C0401"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315</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rPr>
            </w:pPr>
            <w:r w:rsidRPr="004C0401">
              <w:rPr>
                <w:rFonts w:ascii="Cambria" w:eastAsia="Cambria" w:hAnsi="Cambria" w:cs="Cambria"/>
                <w:bCs/>
                <w:sz w:val="18"/>
                <w:szCs w:val="18"/>
                <w:highlight w:val="white"/>
              </w:rPr>
              <w:t>Dil ve Edebiyat Öğretimi 2</w:t>
            </w:r>
          </w:p>
        </w:tc>
        <w:tc>
          <w:tcPr>
            <w:tcW w:w="504"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743A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743A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r>
      <w:tr w:rsidR="004C0401" w:rsidTr="00BA06A5">
        <w:trPr>
          <w:trHeight w:val="488"/>
        </w:trPr>
        <w:tc>
          <w:tcPr>
            <w:tcW w:w="1705" w:type="dxa"/>
            <w:tcMar>
              <w:top w:w="100" w:type="dxa"/>
              <w:left w:w="100" w:type="dxa"/>
              <w:bottom w:w="100" w:type="dxa"/>
              <w:right w:w="100" w:type="dxa"/>
            </w:tcMar>
          </w:tcPr>
          <w:p w:rsidR="004C0401" w:rsidRDefault="004C0401"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410</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rPr>
            </w:pPr>
            <w:r w:rsidRPr="004C0401">
              <w:rPr>
                <w:rFonts w:ascii="Cambria" w:eastAsia="Cambria" w:hAnsi="Cambria" w:cs="Cambria"/>
                <w:bCs/>
                <w:sz w:val="18"/>
                <w:szCs w:val="18"/>
                <w:highlight w:val="white"/>
              </w:rPr>
              <w:t>Öğretmenlik Uygulaması 1</w:t>
            </w:r>
          </w:p>
        </w:tc>
        <w:tc>
          <w:tcPr>
            <w:tcW w:w="504"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Default="00060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C0401" w:rsidTr="00BA06A5">
        <w:trPr>
          <w:trHeight w:val="488"/>
        </w:trPr>
        <w:tc>
          <w:tcPr>
            <w:tcW w:w="1705" w:type="dxa"/>
            <w:tcMar>
              <w:top w:w="100" w:type="dxa"/>
              <w:left w:w="100" w:type="dxa"/>
              <w:bottom w:w="100" w:type="dxa"/>
              <w:right w:w="100" w:type="dxa"/>
            </w:tcMar>
          </w:tcPr>
          <w:p w:rsidR="004C0401" w:rsidRDefault="004C0401"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414</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rPr>
            </w:pPr>
            <w:r w:rsidRPr="004C0401">
              <w:rPr>
                <w:rFonts w:ascii="Cambria" w:eastAsia="Cambria" w:hAnsi="Cambria" w:cs="Cambria"/>
                <w:bCs/>
                <w:sz w:val="18"/>
                <w:szCs w:val="18"/>
                <w:highlight w:val="white"/>
              </w:rPr>
              <w:t>İngilizce Öğretiminde Ders İçeriği Geliştirme</w:t>
            </w:r>
          </w:p>
        </w:tc>
        <w:tc>
          <w:tcPr>
            <w:tcW w:w="504"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B216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r>
      <w:tr w:rsidR="004C0401" w:rsidTr="00BA06A5">
        <w:trPr>
          <w:trHeight w:val="488"/>
        </w:trPr>
        <w:tc>
          <w:tcPr>
            <w:tcW w:w="1705" w:type="dxa"/>
            <w:tcMar>
              <w:top w:w="100" w:type="dxa"/>
              <w:left w:w="100" w:type="dxa"/>
              <w:bottom w:w="100" w:type="dxa"/>
              <w:right w:w="100" w:type="dxa"/>
            </w:tcMar>
          </w:tcPr>
          <w:p w:rsidR="004C0401" w:rsidRDefault="004C0401"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420</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rPr>
            </w:pPr>
            <w:r w:rsidRPr="004C0401">
              <w:rPr>
                <w:rFonts w:ascii="Cambria" w:eastAsia="Cambria" w:hAnsi="Cambria" w:cs="Cambria"/>
                <w:bCs/>
                <w:sz w:val="18"/>
                <w:szCs w:val="18"/>
                <w:highlight w:val="white"/>
              </w:rPr>
              <w:t>Çeviri</w:t>
            </w:r>
          </w:p>
        </w:tc>
        <w:tc>
          <w:tcPr>
            <w:tcW w:w="504" w:type="dxa"/>
            <w:shd w:val="clear" w:color="auto" w:fill="auto"/>
            <w:tcMar>
              <w:top w:w="15" w:type="dxa"/>
              <w:left w:w="50" w:type="dxa"/>
              <w:bottom w:w="15" w:type="dxa"/>
              <w:right w:w="15" w:type="dxa"/>
            </w:tcMar>
            <w:vAlign w:val="center"/>
          </w:tcPr>
          <w:p w:rsidR="004C0401" w:rsidRDefault="00223F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223F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r>
      <w:tr w:rsidR="004C0401" w:rsidTr="00BA06A5">
        <w:trPr>
          <w:trHeight w:val="488"/>
        </w:trPr>
        <w:tc>
          <w:tcPr>
            <w:tcW w:w="1705" w:type="dxa"/>
            <w:tcMar>
              <w:top w:w="100" w:type="dxa"/>
              <w:left w:w="100" w:type="dxa"/>
              <w:bottom w:w="100" w:type="dxa"/>
              <w:right w:w="100" w:type="dxa"/>
            </w:tcMar>
          </w:tcPr>
          <w:p w:rsidR="004C0401" w:rsidRDefault="004C0401" w:rsidP="00BE7114">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412</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highlight w:val="white"/>
              </w:rPr>
            </w:pPr>
            <w:r w:rsidRPr="004C0401">
              <w:rPr>
                <w:rFonts w:ascii="Cambria" w:eastAsia="Cambria" w:hAnsi="Cambria" w:cs="Cambria"/>
                <w:bCs/>
                <w:sz w:val="18"/>
                <w:szCs w:val="18"/>
                <w:highlight w:val="white"/>
              </w:rPr>
              <w:t>Öğretmenlik Uygulaması 2</w:t>
            </w:r>
          </w:p>
        </w:tc>
        <w:tc>
          <w:tcPr>
            <w:tcW w:w="504" w:type="dxa"/>
            <w:shd w:val="clear" w:color="auto" w:fill="auto"/>
            <w:tcMar>
              <w:top w:w="15" w:type="dxa"/>
              <w:left w:w="50" w:type="dxa"/>
              <w:bottom w:w="15" w:type="dxa"/>
              <w:right w:w="15" w:type="dxa"/>
            </w:tcMar>
            <w:vAlign w:val="center"/>
          </w:tcPr>
          <w:p w:rsidR="004C0401" w:rsidRDefault="004C0401" w:rsidP="00BE7114">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rsidP="00BE7114">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rsidP="00BE7114">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Default="00B21696" w:rsidP="00BE71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C0401" w:rsidTr="00BA06A5">
        <w:trPr>
          <w:trHeight w:val="488"/>
        </w:trPr>
        <w:tc>
          <w:tcPr>
            <w:tcW w:w="1705" w:type="dxa"/>
            <w:tcMar>
              <w:top w:w="100" w:type="dxa"/>
              <w:left w:w="100" w:type="dxa"/>
              <w:bottom w:w="100" w:type="dxa"/>
              <w:right w:w="100" w:type="dxa"/>
            </w:tcMar>
          </w:tcPr>
          <w:p w:rsidR="004C0401" w:rsidRDefault="004C0401" w:rsidP="00DD29ED">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422</w:t>
            </w:r>
          </w:p>
        </w:tc>
        <w:tc>
          <w:tcPr>
            <w:tcW w:w="2921" w:type="dxa"/>
            <w:tcMar>
              <w:top w:w="100" w:type="dxa"/>
              <w:left w:w="100" w:type="dxa"/>
              <w:bottom w:w="100" w:type="dxa"/>
              <w:right w:w="100" w:type="dxa"/>
            </w:tcMar>
          </w:tcPr>
          <w:p w:rsidR="004C0401" w:rsidRPr="004C0401" w:rsidRDefault="004C0401" w:rsidP="004C0401">
            <w:pPr>
              <w:spacing w:line="240" w:lineRule="auto"/>
              <w:ind w:right="100"/>
              <w:jc w:val="center"/>
              <w:rPr>
                <w:rFonts w:ascii="Cambria" w:eastAsia="Cambria" w:hAnsi="Cambria" w:cs="Cambria"/>
                <w:bCs/>
                <w:sz w:val="18"/>
                <w:szCs w:val="18"/>
                <w:highlight w:val="white"/>
              </w:rPr>
            </w:pPr>
            <w:r w:rsidRPr="004C0401">
              <w:rPr>
                <w:rFonts w:ascii="Cambria" w:eastAsia="Cambria" w:hAnsi="Cambria" w:cs="Cambria"/>
                <w:bCs/>
                <w:sz w:val="18"/>
                <w:szCs w:val="18"/>
                <w:highlight w:val="white"/>
              </w:rPr>
              <w:t>Okullarda Rehberlik</w:t>
            </w:r>
          </w:p>
        </w:tc>
        <w:tc>
          <w:tcPr>
            <w:tcW w:w="504"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Default="004C0401">
            <w:pPr>
              <w:spacing w:line="240" w:lineRule="auto"/>
              <w:jc w:val="both"/>
              <w:rPr>
                <w:rFonts w:ascii="Times New Roman" w:eastAsia="Times New Roman" w:hAnsi="Times New Roman" w:cs="Times New Roman"/>
                <w:sz w:val="24"/>
                <w:szCs w:val="24"/>
              </w:rPr>
            </w:pPr>
          </w:p>
        </w:tc>
      </w:tr>
      <w:tr w:rsidR="004C0401" w:rsidTr="00BA06A5">
        <w:trPr>
          <w:trHeight w:val="488"/>
        </w:trPr>
        <w:tc>
          <w:tcPr>
            <w:tcW w:w="1705" w:type="dxa"/>
            <w:tcMar>
              <w:top w:w="100" w:type="dxa"/>
              <w:left w:w="100" w:type="dxa"/>
              <w:bottom w:w="100" w:type="dxa"/>
              <w:right w:w="100" w:type="dxa"/>
            </w:tcMar>
          </w:tcPr>
          <w:p w:rsidR="004C0401" w:rsidRDefault="004C0401" w:rsidP="004C0401">
            <w:pPr>
              <w:spacing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EDEN 416</w:t>
            </w:r>
          </w:p>
        </w:tc>
        <w:tc>
          <w:tcPr>
            <w:tcW w:w="2921" w:type="dxa"/>
            <w:tcMar>
              <w:top w:w="100" w:type="dxa"/>
              <w:left w:w="100" w:type="dxa"/>
              <w:bottom w:w="100" w:type="dxa"/>
              <w:right w:w="100" w:type="dxa"/>
            </w:tcMar>
            <w:vAlign w:val="bottom"/>
          </w:tcPr>
          <w:p w:rsidR="004C0401" w:rsidRPr="004C0401" w:rsidRDefault="004C0401" w:rsidP="004C0401">
            <w:pPr>
              <w:spacing w:after="0"/>
              <w:ind w:right="100"/>
              <w:jc w:val="center"/>
              <w:rPr>
                <w:rFonts w:ascii="Cambria" w:eastAsia="Cambria" w:hAnsi="Cambria" w:cs="Cambria"/>
                <w:bCs/>
                <w:sz w:val="18"/>
                <w:szCs w:val="18"/>
                <w:highlight w:val="white"/>
              </w:rPr>
            </w:pPr>
            <w:r w:rsidRPr="004C0401">
              <w:rPr>
                <w:rFonts w:ascii="Cambria" w:eastAsia="Cambria" w:hAnsi="Cambria" w:cs="Cambria"/>
                <w:bCs/>
                <w:sz w:val="18"/>
                <w:szCs w:val="18"/>
                <w:highlight w:val="white"/>
              </w:rPr>
              <w:t>İngilizce Öğretiminde Sınav Hazırlama</w:t>
            </w:r>
          </w:p>
        </w:tc>
        <w:tc>
          <w:tcPr>
            <w:tcW w:w="504"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rsidP="004C04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rsidP="004C04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Default="00B21696" w:rsidP="004C04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Default="004C0401" w:rsidP="004C0401">
            <w:pPr>
              <w:spacing w:line="240" w:lineRule="auto"/>
              <w:jc w:val="both"/>
              <w:rPr>
                <w:rFonts w:ascii="Times New Roman" w:eastAsia="Times New Roman" w:hAnsi="Times New Roman" w:cs="Times New Roman"/>
                <w:sz w:val="24"/>
                <w:szCs w:val="24"/>
              </w:rPr>
            </w:pPr>
          </w:p>
        </w:tc>
      </w:tr>
    </w:tbl>
    <w:p w:rsidR="00C36F0B" w:rsidRDefault="00C36F0B">
      <w:pPr>
        <w:spacing w:after="0"/>
        <w:jc w:val="both"/>
        <w:rPr>
          <w:rFonts w:ascii="Times New Roman" w:eastAsia="Times New Roman" w:hAnsi="Times New Roman" w:cs="Times New Roman"/>
          <w:b/>
          <w:sz w:val="24"/>
          <w:szCs w:val="24"/>
          <w:highlight w:val="white"/>
        </w:rPr>
      </w:pPr>
    </w:p>
    <w:p w:rsidR="00C36F0B" w:rsidRDefault="007A2DE7">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highlight w:val="white"/>
        </w:rPr>
        <w:t>Alınacak Derece:</w:t>
      </w:r>
    </w:p>
    <w:p w:rsidR="00C36F0B" w:rsidRDefault="007A2DE7">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 bölüm, yüksek öğretimde İngilizce Öğretmenliği alanında 243 AKTS kredilik birinci aşama derece sistemine tabidir.</w:t>
      </w:r>
    </w:p>
    <w:p w:rsidR="00C36F0B" w:rsidRDefault="00C36F0B">
      <w:pPr>
        <w:spacing w:after="0"/>
        <w:jc w:val="both"/>
        <w:rPr>
          <w:rFonts w:ascii="Times New Roman" w:eastAsia="Times New Roman" w:hAnsi="Times New Roman" w:cs="Times New Roman"/>
          <w:sz w:val="24"/>
          <w:szCs w:val="24"/>
          <w:highlight w:val="white"/>
        </w:rPr>
      </w:pPr>
    </w:p>
    <w:p w:rsidR="00C36F0B" w:rsidRDefault="007A2DE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Program başarılı bir şekilde tamamlanıp, program yeterlilikleri sağlandığında İngilizce Öğretmenliği alanında Lisans derecesine sahip olunur.</w:t>
      </w:r>
    </w:p>
    <w:p w:rsidR="00C36F0B" w:rsidRDefault="00C36F0B">
      <w:pPr>
        <w:spacing w:after="0"/>
        <w:jc w:val="both"/>
        <w:rPr>
          <w:rFonts w:ascii="Times New Roman" w:eastAsia="Times New Roman" w:hAnsi="Times New Roman" w:cs="Times New Roman"/>
          <w:sz w:val="24"/>
          <w:szCs w:val="24"/>
        </w:rPr>
      </w:pPr>
    </w:p>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Kabul Koşulları:</w:t>
      </w:r>
    </w:p>
    <w:p w:rsidR="00C36F0B" w:rsidRDefault="007A2DE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w:t>
      </w:r>
    </w:p>
    <w:p w:rsidR="00C36F0B" w:rsidRDefault="00C36F0B">
      <w:pPr>
        <w:spacing w:after="0"/>
        <w:jc w:val="both"/>
        <w:rPr>
          <w:rFonts w:ascii="Times New Roman" w:eastAsia="Times New Roman" w:hAnsi="Times New Roman" w:cs="Times New Roman"/>
          <w:sz w:val="24"/>
          <w:szCs w:val="24"/>
          <w:highlight w:val="white"/>
        </w:rPr>
      </w:pPr>
    </w:p>
    <w:p w:rsidR="00C36F0B" w:rsidRDefault="007A2DE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Üniversite tarafından onaylanmış ve bir anlaşma ile sınırları belirlenmiş öğrenci değişim programları kapsamında yurtdışından gelen öğrenciler İngilizce olarak verilen dersleri alabilirler. </w:t>
      </w:r>
      <w:r>
        <w:rPr>
          <w:rFonts w:ascii="Times New Roman" w:eastAsia="Times New Roman" w:hAnsi="Times New Roman" w:cs="Times New Roman"/>
          <w:sz w:val="24"/>
          <w:szCs w:val="24"/>
          <w:highlight w:val="white"/>
        </w:rPr>
        <w:lastRenderedPageBreak/>
        <w:t>Öğrenci Türkçe dil bilgisi yeterliliğine sahipse Ders Planı`nda belirtilen herhangi bir Türkçe derse de kayıt yaptırabilir.</w:t>
      </w:r>
    </w:p>
    <w:p w:rsidR="00C36F0B" w:rsidRDefault="00C36F0B">
      <w:pPr>
        <w:spacing w:after="0"/>
        <w:jc w:val="both"/>
        <w:rPr>
          <w:rFonts w:ascii="Times New Roman" w:eastAsia="Times New Roman" w:hAnsi="Times New Roman" w:cs="Times New Roman"/>
          <w:sz w:val="24"/>
          <w:szCs w:val="24"/>
        </w:rPr>
      </w:pPr>
    </w:p>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Mezunların İstihdam Olanakları ve Üst Kademeye Geçiş:</w:t>
      </w:r>
    </w:p>
    <w:p w:rsidR="00C36F0B" w:rsidRDefault="007A2DE7">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Mezunlarımız ağırlıklı olarak Milli Eğitim Bakanlığına bağlı okullarda İngilizce Öğretmeni olarak çalışabilirler. </w:t>
      </w:r>
    </w:p>
    <w:p w:rsidR="00C36F0B" w:rsidRDefault="00C36F0B">
      <w:pPr>
        <w:spacing w:after="0"/>
        <w:jc w:val="both"/>
        <w:rPr>
          <w:rFonts w:ascii="Times New Roman" w:eastAsia="Times New Roman" w:hAnsi="Times New Roman" w:cs="Times New Roman"/>
          <w:sz w:val="24"/>
          <w:szCs w:val="24"/>
        </w:rPr>
      </w:pPr>
    </w:p>
    <w:p w:rsidR="00C36F0B" w:rsidRDefault="007A2DE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Mezuniyet Koşulları:</w:t>
      </w:r>
    </w:p>
    <w:p w:rsidR="00C36F0B" w:rsidRDefault="007A2DE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Dereceyi alabilmek / programı tamamlamak için akademik yıl sonunda yapılması gereken veya programın tamamlanmasını müteakip özel bir dönem sonu sınavı veya final sınav dönemi yoktur. Bununla birlikte, her yarıyıl sonunda genellikle dönemin hemen bitişini müteakip iki hafta süreli dönem sonu sınavları vardır. Ayrıca, mezuniyet için öğrencinin okullarda gözlem dersinin gereklerini yerine getirmesi ve 60 saat süren stajını başarılı bir şekilde yapmış olması gerekmektedir. Stajlar ile elde edilecek deneyim ve gerekli iş yükü program içerisinde ilgili derslerin içerik, uygulama ve çalışma iş yükleri içerisinde dikkate alınmıştır. </w:t>
      </w:r>
    </w:p>
    <w:p w:rsidR="00C36F0B" w:rsidRDefault="00C36F0B">
      <w:pPr>
        <w:spacing w:after="0"/>
        <w:jc w:val="both"/>
        <w:rPr>
          <w:rFonts w:ascii="Times New Roman" w:eastAsia="Times New Roman" w:hAnsi="Times New Roman" w:cs="Times New Roman"/>
          <w:sz w:val="24"/>
          <w:szCs w:val="24"/>
        </w:rPr>
      </w:pPr>
    </w:p>
    <w:p w:rsidR="00C36F0B" w:rsidRDefault="00C36F0B">
      <w:pPr>
        <w:spacing w:after="0"/>
        <w:jc w:val="both"/>
        <w:rPr>
          <w:rFonts w:ascii="Times New Roman" w:eastAsia="Times New Roman" w:hAnsi="Times New Roman" w:cs="Times New Roman"/>
          <w:sz w:val="24"/>
          <w:szCs w:val="24"/>
        </w:rPr>
      </w:pPr>
    </w:p>
    <w:p w:rsidR="00C36F0B" w:rsidRDefault="00C36F0B">
      <w:pPr>
        <w:jc w:val="both"/>
        <w:rPr>
          <w:rFonts w:ascii="Times New Roman" w:eastAsia="Times New Roman" w:hAnsi="Times New Roman" w:cs="Times New Roman"/>
          <w:sz w:val="24"/>
          <w:szCs w:val="24"/>
        </w:rPr>
      </w:pPr>
    </w:p>
    <w:sectPr w:rsidR="00C36F0B">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622"/>
    <w:multiLevelType w:val="multilevel"/>
    <w:tmpl w:val="39C6B5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F56D4A"/>
    <w:multiLevelType w:val="multilevel"/>
    <w:tmpl w:val="F7A88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2AE2B8F"/>
    <w:multiLevelType w:val="hybridMultilevel"/>
    <w:tmpl w:val="8F4CB8A4"/>
    <w:lvl w:ilvl="0" w:tplc="223EE9E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8051AC"/>
    <w:multiLevelType w:val="hybridMultilevel"/>
    <w:tmpl w:val="EA24FE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B"/>
    <w:rsid w:val="000607B0"/>
    <w:rsid w:val="002219E7"/>
    <w:rsid w:val="00223FA5"/>
    <w:rsid w:val="004743A9"/>
    <w:rsid w:val="004C0401"/>
    <w:rsid w:val="00685C7B"/>
    <w:rsid w:val="00702F98"/>
    <w:rsid w:val="007275C6"/>
    <w:rsid w:val="007A2DE7"/>
    <w:rsid w:val="007E568B"/>
    <w:rsid w:val="0097122C"/>
    <w:rsid w:val="009F1E33"/>
    <w:rsid w:val="00A77CA7"/>
    <w:rsid w:val="00AC3AA9"/>
    <w:rsid w:val="00B21696"/>
    <w:rsid w:val="00BA06A5"/>
    <w:rsid w:val="00C36F0B"/>
    <w:rsid w:val="00DD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3408-0475-42A9-9F3E-E376000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aliases w:val="Liste Paragraf Cemil 1"/>
    <w:basedOn w:val="Normal"/>
    <w:link w:val="ListParagraphChar"/>
    <w:autoRedefine/>
    <w:uiPriority w:val="34"/>
    <w:qFormat/>
    <w:rsid w:val="007275C6"/>
    <w:pPr>
      <w:numPr>
        <w:numId w:val="3"/>
      </w:numPr>
      <w:spacing w:before="120" w:after="120" w:line="360" w:lineRule="auto"/>
      <w:contextualSpacing/>
      <w:jc w:val="both"/>
      <w:outlineLvl w:val="3"/>
    </w:pPr>
    <w:rPr>
      <w:rFonts w:ascii="Times New Roman" w:hAnsi="Times New Roman" w:cs="Times New Roman"/>
      <w:sz w:val="24"/>
      <w:szCs w:val="24"/>
      <w:lang w:eastAsia="tr-TR"/>
    </w:rPr>
  </w:style>
  <w:style w:type="character" w:customStyle="1" w:styleId="ListParagraphChar">
    <w:name w:val="List Paragraph Char"/>
    <w:aliases w:val="Liste Paragraf Cemil 1 Char"/>
    <w:link w:val="ListParagraph"/>
    <w:uiPriority w:val="34"/>
    <w:rsid w:val="007275C6"/>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1837</Words>
  <Characters>10476</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ozdenogul</dc:creator>
  <cp:lastModifiedBy>Ozden Ogul</cp:lastModifiedBy>
  <cp:revision>5</cp:revision>
  <dcterms:created xsi:type="dcterms:W3CDTF">2019-12-04T10:13:00Z</dcterms:created>
  <dcterms:modified xsi:type="dcterms:W3CDTF">2019-12-04T10:24:00Z</dcterms:modified>
</cp:coreProperties>
</file>